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33104" w:rsidRPr="00CD3C74" w:rsidRDefault="00CD3C74">
      <w:pPr>
        <w:rPr>
          <w:lang w:val="fr-CA"/>
        </w:rPr>
      </w:pPr>
      <w:r>
        <w:rPr>
          <w:b/>
          <w:bCs/>
          <w:sz w:val="28"/>
          <w:szCs w:val="28"/>
          <w:lang w:val="fr-CA"/>
        </w:rPr>
        <w:t>Jeu de données complet</w:t>
      </w:r>
    </w:p>
    <w:p w:rsidR="00F33104" w:rsidRPr="00CD3C74" w:rsidRDefault="00F33104">
      <w:pPr>
        <w:rPr>
          <w:lang w:val="fr-CA"/>
        </w:rPr>
      </w:pPr>
      <w:r w:rsidRPr="00CD3C74">
        <w:rPr>
          <w:lang w:val="fr-CA"/>
        </w:rPr>
        <w:t>==============</w:t>
      </w:r>
    </w:p>
    <w:p w:rsidR="00F33104" w:rsidRPr="00CD3C74" w:rsidRDefault="00F33104">
      <w:pPr>
        <w:rPr>
          <w:lang w:val="fr-CA"/>
        </w:rPr>
      </w:pPr>
    </w:p>
    <w:p w:rsidR="00F33104" w:rsidRPr="00CD3C74" w:rsidRDefault="00CD3C74">
      <w:pPr>
        <w:rPr>
          <w:lang w:val="fr-CA"/>
        </w:rPr>
      </w:pPr>
      <w:r>
        <w:rPr>
          <w:b/>
          <w:bCs/>
          <w:lang w:val="fr-CA"/>
        </w:rPr>
        <w:t>Nom du jeu de données :</w:t>
      </w:r>
      <w:r w:rsidR="00F33104" w:rsidRPr="00CD3C74">
        <w:rPr>
          <w:b/>
          <w:bCs/>
          <w:lang w:val="fr-CA"/>
        </w:rPr>
        <w:tab/>
      </w:r>
      <w:r w:rsidR="00F33104" w:rsidRPr="00CD3C74">
        <w:rPr>
          <w:lang w:val="fr-CA"/>
        </w:rPr>
        <w:t>WINDII data files</w:t>
      </w:r>
      <w:r w:rsidR="00937A06">
        <w:rPr>
          <w:lang w:val="fr-CA"/>
        </w:rPr>
        <w:t xml:space="preserve"> (fichiers de données WINDII)</w:t>
      </w:r>
    </w:p>
    <w:p w:rsidR="00F33104" w:rsidRPr="00CD3C74" w:rsidRDefault="00F33104">
      <w:pPr>
        <w:rPr>
          <w:lang w:val="fr-CA"/>
        </w:rPr>
      </w:pPr>
    </w:p>
    <w:p w:rsidR="00F33104" w:rsidRPr="00CD3C74" w:rsidRDefault="00CD3C74">
      <w:pPr>
        <w:rPr>
          <w:lang w:val="fr-CA"/>
        </w:rPr>
      </w:pPr>
      <w:r>
        <w:rPr>
          <w:b/>
          <w:bCs/>
          <w:lang w:val="fr-CA"/>
        </w:rPr>
        <w:t>Source des données :</w:t>
      </w:r>
      <w:r w:rsidR="00F33104" w:rsidRPr="00CD3C74">
        <w:rPr>
          <w:lang w:val="fr-CA"/>
        </w:rPr>
        <w:tab/>
      </w:r>
      <w:r w:rsidR="00F33104" w:rsidRPr="00CD3C74">
        <w:rPr>
          <w:lang w:val="fr-CA"/>
        </w:rPr>
        <w:tab/>
      </w:r>
      <w:r>
        <w:rPr>
          <w:lang w:val="fr-CA"/>
        </w:rPr>
        <w:t>S</w:t>
      </w:r>
      <w:r w:rsidRPr="00CD3C74">
        <w:rPr>
          <w:lang w:val="fr-CA"/>
        </w:rPr>
        <w:t>atellite de recherche sur la haute atmosphère</w:t>
      </w:r>
      <w:r w:rsidR="00F33104" w:rsidRPr="00CD3C74">
        <w:rPr>
          <w:lang w:val="fr-CA"/>
        </w:rPr>
        <w:t xml:space="preserve"> (UARS), </w:t>
      </w:r>
      <w:r w:rsidR="00F33104" w:rsidRPr="00CD3C74">
        <w:rPr>
          <w:lang w:val="fr-CA"/>
        </w:rPr>
        <w:br/>
      </w:r>
      <w:r w:rsidR="00F33104" w:rsidRPr="00CD3C74">
        <w:rPr>
          <w:lang w:val="fr-CA"/>
        </w:rPr>
        <w:tab/>
      </w:r>
      <w:r w:rsidR="00F33104" w:rsidRPr="00CD3C74">
        <w:rPr>
          <w:lang w:val="fr-CA"/>
        </w:rPr>
        <w:tab/>
      </w:r>
      <w:r w:rsidR="00F33104" w:rsidRPr="00CD3C74">
        <w:rPr>
          <w:lang w:val="fr-CA"/>
        </w:rPr>
        <w:tab/>
      </w:r>
      <w:r>
        <w:rPr>
          <w:lang w:val="fr-CA"/>
        </w:rPr>
        <w:tab/>
        <w:t>I</w:t>
      </w:r>
      <w:r w:rsidRPr="00CD3C74">
        <w:rPr>
          <w:lang w:val="fr-CA"/>
        </w:rPr>
        <w:t xml:space="preserve">nterféromètre imageur du vent </w:t>
      </w:r>
      <w:r w:rsidR="00F33104" w:rsidRPr="00CD3C74">
        <w:rPr>
          <w:lang w:val="fr-CA"/>
        </w:rPr>
        <w:t>(WINDII)</w:t>
      </w:r>
    </w:p>
    <w:p w:rsidR="00F33104" w:rsidRPr="00CD3C74" w:rsidRDefault="00F33104">
      <w:pPr>
        <w:rPr>
          <w:lang w:val="fr-CA"/>
        </w:rPr>
      </w:pPr>
    </w:p>
    <w:p w:rsidR="00F33104" w:rsidRPr="00CD3C74" w:rsidRDefault="00C63377">
      <w:pPr>
        <w:rPr>
          <w:lang w:val="fr-CA"/>
        </w:rPr>
      </w:pPr>
      <w:r>
        <w:rPr>
          <w:b/>
          <w:bCs/>
          <w:lang w:val="fr-CA"/>
        </w:rPr>
        <w:t>Personne-ressource scientifique :</w:t>
      </w:r>
      <w:r w:rsidR="00F33104" w:rsidRPr="00CD3C74">
        <w:rPr>
          <w:lang w:val="fr-CA"/>
        </w:rPr>
        <w:tab/>
        <w:t>Dr. Gordon Shepherd</w:t>
      </w:r>
    </w:p>
    <w:p w:rsidR="00F33104" w:rsidRPr="00B41843" w:rsidRDefault="00F33104">
      <w:pPr>
        <w:rPr>
          <w:color w:val="FF0000"/>
        </w:rPr>
      </w:pPr>
      <w:r w:rsidRPr="00CD3C74">
        <w:rPr>
          <w:lang w:val="fr-CA"/>
        </w:rPr>
        <w:tab/>
      </w:r>
      <w:r w:rsidRPr="00CD3C74">
        <w:rPr>
          <w:lang w:val="fr-CA"/>
        </w:rPr>
        <w:tab/>
      </w:r>
      <w:r w:rsidRPr="00CD3C74">
        <w:rPr>
          <w:lang w:val="fr-CA"/>
        </w:rPr>
        <w:tab/>
      </w:r>
      <w:r w:rsidR="00C63377">
        <w:rPr>
          <w:lang w:val="fr-CA"/>
        </w:rPr>
        <w:tab/>
      </w:r>
      <w:r w:rsidRPr="00CD3C74">
        <w:rPr>
          <w:lang w:val="fr-CA"/>
        </w:rPr>
        <w:tab/>
      </w:r>
      <w:r w:rsidRPr="00B41843">
        <w:t xml:space="preserve">Department of Earth and </w:t>
      </w:r>
      <w:r w:rsidR="006F366E" w:rsidRPr="00B41843">
        <w:t>Space Science and Engineering</w:t>
      </w:r>
    </w:p>
    <w:p w:rsidR="00F33104" w:rsidRPr="00B41843" w:rsidRDefault="00F33104">
      <w:r w:rsidRPr="00B41843">
        <w:tab/>
      </w:r>
      <w:r w:rsidRPr="00B41843">
        <w:tab/>
      </w:r>
      <w:r w:rsidRPr="00B41843">
        <w:tab/>
      </w:r>
      <w:r w:rsidR="00C63377" w:rsidRPr="00B41843">
        <w:tab/>
      </w:r>
      <w:r w:rsidRPr="00B41843">
        <w:tab/>
        <w:t>York University</w:t>
      </w:r>
    </w:p>
    <w:p w:rsidR="00F33104" w:rsidRPr="00B41843" w:rsidRDefault="00F33104">
      <w:r w:rsidRPr="00B41843">
        <w:tab/>
      </w:r>
      <w:r w:rsidRPr="00B41843">
        <w:tab/>
      </w:r>
      <w:r w:rsidRPr="00B41843">
        <w:tab/>
      </w:r>
      <w:r w:rsidR="00C63377" w:rsidRPr="00B41843">
        <w:tab/>
      </w:r>
      <w:r w:rsidRPr="00B41843">
        <w:tab/>
        <w:t>4700</w:t>
      </w:r>
      <w:r w:rsidR="00C63377" w:rsidRPr="00B41843">
        <w:t>, rue</w:t>
      </w:r>
      <w:r w:rsidRPr="00B41843">
        <w:t xml:space="preserve"> </w:t>
      </w:r>
      <w:proofErr w:type="spellStart"/>
      <w:r w:rsidRPr="00B41843">
        <w:t>Keele</w:t>
      </w:r>
      <w:proofErr w:type="spellEnd"/>
    </w:p>
    <w:p w:rsidR="00F33104" w:rsidRPr="00B41843" w:rsidRDefault="00F33104">
      <w:r w:rsidRPr="00B41843">
        <w:tab/>
      </w:r>
      <w:r w:rsidRPr="00B41843">
        <w:tab/>
      </w:r>
      <w:r w:rsidR="00C63377" w:rsidRPr="00B41843">
        <w:tab/>
      </w:r>
      <w:r w:rsidRPr="00B41843">
        <w:tab/>
      </w:r>
      <w:r w:rsidRPr="00B41843">
        <w:tab/>
        <w:t>North York</w:t>
      </w:r>
      <w:r w:rsidR="00C63377" w:rsidRPr="00B41843">
        <w:t xml:space="preserve"> (</w:t>
      </w:r>
      <w:r w:rsidRPr="00B41843">
        <w:t>Ontario</w:t>
      </w:r>
      <w:r w:rsidR="00C63377" w:rsidRPr="00B41843">
        <w:t>)</w:t>
      </w:r>
    </w:p>
    <w:p w:rsidR="00F33104" w:rsidRPr="00CD3C74" w:rsidRDefault="00F33104">
      <w:pPr>
        <w:rPr>
          <w:lang w:val="fr-CA"/>
        </w:rPr>
      </w:pPr>
      <w:r w:rsidRPr="00B41843">
        <w:tab/>
      </w:r>
      <w:r w:rsidRPr="00B41843">
        <w:tab/>
      </w:r>
      <w:r w:rsidR="00C63377" w:rsidRPr="00B41843">
        <w:tab/>
      </w:r>
      <w:r w:rsidRPr="00B41843">
        <w:tab/>
      </w:r>
      <w:r w:rsidRPr="00B41843">
        <w:tab/>
      </w:r>
      <w:r w:rsidRPr="00CD3C74">
        <w:rPr>
          <w:lang w:val="fr-CA"/>
        </w:rPr>
        <w:t>Canada  M3J 1P3</w:t>
      </w:r>
    </w:p>
    <w:p w:rsidR="00F33104" w:rsidRPr="00CD3C74" w:rsidRDefault="00F33104">
      <w:pPr>
        <w:rPr>
          <w:lang w:val="fr-CA"/>
        </w:rPr>
      </w:pPr>
    </w:p>
    <w:p w:rsidR="00F33104" w:rsidRPr="00CD3C74" w:rsidRDefault="00F33104">
      <w:pPr>
        <w:rPr>
          <w:lang w:val="fr-CA"/>
        </w:rPr>
      </w:pPr>
      <w:r w:rsidRPr="00CD3C74">
        <w:rPr>
          <w:lang w:val="fr-CA"/>
        </w:rPr>
        <w:tab/>
      </w:r>
      <w:r w:rsidRPr="00CD3C74">
        <w:rPr>
          <w:lang w:val="fr-CA"/>
        </w:rPr>
        <w:tab/>
      </w:r>
      <w:r w:rsidRPr="00CD3C74">
        <w:rPr>
          <w:lang w:val="fr-CA"/>
        </w:rPr>
        <w:tab/>
      </w:r>
      <w:r w:rsidRPr="00CD3C74">
        <w:rPr>
          <w:lang w:val="fr-CA"/>
        </w:rPr>
        <w:tab/>
      </w:r>
      <w:r w:rsidR="00AC43A7">
        <w:rPr>
          <w:lang w:val="fr-CA"/>
        </w:rPr>
        <w:t>C</w:t>
      </w:r>
      <w:r w:rsidR="00C63377">
        <w:rPr>
          <w:lang w:val="fr-CA"/>
        </w:rPr>
        <w:t xml:space="preserve">ourriel </w:t>
      </w:r>
      <w:r w:rsidRPr="00CD3C74">
        <w:rPr>
          <w:lang w:val="fr-CA"/>
        </w:rPr>
        <w:t>:  gordon@yorku.ca</w:t>
      </w:r>
    </w:p>
    <w:p w:rsidR="00F33104" w:rsidRPr="00CD3C74" w:rsidRDefault="00F33104">
      <w:pPr>
        <w:rPr>
          <w:lang w:val="fr-CA"/>
        </w:rPr>
      </w:pPr>
    </w:p>
    <w:p w:rsidR="00F33104" w:rsidRPr="00CD3C74" w:rsidRDefault="00C63377">
      <w:pPr>
        <w:rPr>
          <w:lang w:val="fr-CA"/>
        </w:rPr>
      </w:pPr>
      <w:r>
        <w:rPr>
          <w:b/>
          <w:bCs/>
          <w:lang w:val="fr-CA"/>
        </w:rPr>
        <w:t>Caractéristique</w:t>
      </w:r>
      <w:r w:rsidR="00937A06">
        <w:rPr>
          <w:b/>
          <w:bCs/>
          <w:lang w:val="fr-CA"/>
        </w:rPr>
        <w:t>s</w:t>
      </w:r>
      <w:r>
        <w:rPr>
          <w:b/>
          <w:bCs/>
          <w:lang w:val="fr-CA"/>
        </w:rPr>
        <w:t xml:space="preserve"> de la source</w:t>
      </w:r>
    </w:p>
    <w:p w:rsidR="00F33104" w:rsidRPr="00CD3C74" w:rsidRDefault="00F33104">
      <w:pPr>
        <w:rPr>
          <w:lang w:val="fr-CA"/>
        </w:rPr>
      </w:pPr>
    </w:p>
    <w:p w:rsidR="00CD3C74" w:rsidRPr="00CD3C74" w:rsidRDefault="00F33104" w:rsidP="00CD3C74">
      <w:pPr>
        <w:jc w:val="both"/>
        <w:rPr>
          <w:lang w:val="fr-CA"/>
        </w:rPr>
      </w:pPr>
      <w:r w:rsidRPr="00CD3C74">
        <w:rPr>
          <w:lang w:val="fr-CA"/>
        </w:rPr>
        <w:tab/>
      </w:r>
      <w:r w:rsidR="00CD3C74" w:rsidRPr="00CD3C74">
        <w:rPr>
          <w:lang w:val="fr-CA"/>
        </w:rPr>
        <w:t>Ces données proviennent de l</w:t>
      </w:r>
      <w:r w:rsidR="00E24EBD">
        <w:rPr>
          <w:lang w:val="fr-CA"/>
        </w:rPr>
        <w:t>’</w:t>
      </w:r>
      <w:r w:rsidR="00CD3C74" w:rsidRPr="00CD3C74">
        <w:rPr>
          <w:lang w:val="fr-CA"/>
        </w:rPr>
        <w:t>instrument WINDII, qui a été utilisé à bord de l</w:t>
      </w:r>
      <w:r w:rsidR="00E24EBD">
        <w:rPr>
          <w:lang w:val="fr-CA"/>
        </w:rPr>
        <w:t>’</w:t>
      </w:r>
      <w:r w:rsidR="00CD3C74" w:rsidRPr="00CD3C74">
        <w:rPr>
          <w:lang w:val="fr-CA"/>
        </w:rPr>
        <w:t xml:space="preserve">engin spatial UARS. Les données </w:t>
      </w:r>
      <w:r w:rsidR="00C82DF4">
        <w:rPr>
          <w:lang w:val="fr-CA"/>
        </w:rPr>
        <w:t>étaient</w:t>
      </w:r>
      <w:r w:rsidR="00937A06">
        <w:rPr>
          <w:lang w:val="fr-CA"/>
        </w:rPr>
        <w:t xml:space="preserve"> </w:t>
      </w:r>
      <w:r w:rsidR="009352F0">
        <w:rPr>
          <w:lang w:val="fr-CA"/>
        </w:rPr>
        <w:t xml:space="preserve">initialement </w:t>
      </w:r>
      <w:r w:rsidR="00CD3C74" w:rsidRPr="00CD3C74">
        <w:rPr>
          <w:lang w:val="fr-CA"/>
        </w:rPr>
        <w:t>traitées à l</w:t>
      </w:r>
      <w:r w:rsidR="00E24EBD">
        <w:rPr>
          <w:lang w:val="fr-CA"/>
        </w:rPr>
        <w:t>’</w:t>
      </w:r>
      <w:r w:rsidR="00CD3C74" w:rsidRPr="00CD3C74">
        <w:rPr>
          <w:lang w:val="fr-CA"/>
        </w:rPr>
        <w:t>aide du logiciel de traitement de production de données scientifiques SDPPS, initialement exécuté sur l</w:t>
      </w:r>
      <w:r w:rsidR="00E24EBD">
        <w:rPr>
          <w:lang w:val="fr-CA"/>
        </w:rPr>
        <w:t>’</w:t>
      </w:r>
      <w:r w:rsidR="00CD3C74" w:rsidRPr="00CD3C74">
        <w:rPr>
          <w:lang w:val="fr-CA"/>
        </w:rPr>
        <w:t xml:space="preserve">installation centrale de traitement des données (CDHF) au Goddard </w:t>
      </w:r>
      <w:proofErr w:type="spellStart"/>
      <w:r w:rsidR="00CD3C74" w:rsidRPr="00CD3C74">
        <w:rPr>
          <w:lang w:val="fr-CA"/>
        </w:rPr>
        <w:t>Space</w:t>
      </w:r>
      <w:proofErr w:type="spellEnd"/>
      <w:r w:rsidR="00CD3C74" w:rsidRPr="00CD3C74">
        <w:rPr>
          <w:lang w:val="fr-CA"/>
        </w:rPr>
        <w:t xml:space="preserve"> Flight Center, puis retraité</w:t>
      </w:r>
      <w:r w:rsidR="00C63377">
        <w:rPr>
          <w:lang w:val="fr-CA"/>
        </w:rPr>
        <w:t>es</w:t>
      </w:r>
      <w:r w:rsidR="00CD3C74" w:rsidRPr="00CD3C74">
        <w:rPr>
          <w:lang w:val="fr-CA"/>
        </w:rPr>
        <w:t xml:space="preserve"> à l</w:t>
      </w:r>
      <w:r w:rsidR="00E24EBD">
        <w:rPr>
          <w:lang w:val="fr-CA"/>
        </w:rPr>
        <w:t>’</w:t>
      </w:r>
      <w:r w:rsidR="00CD3C74" w:rsidRPr="00CD3C74">
        <w:rPr>
          <w:lang w:val="fr-CA"/>
        </w:rPr>
        <w:t>Université York. Les données contenues dans ces archives sont les données de niveau 1 et de niveau 2 du retraitement final effectué à l</w:t>
      </w:r>
      <w:r w:rsidR="00E24EBD">
        <w:rPr>
          <w:lang w:val="fr-CA"/>
        </w:rPr>
        <w:t>’</w:t>
      </w:r>
      <w:r w:rsidR="00CD3C74" w:rsidRPr="00CD3C74">
        <w:rPr>
          <w:lang w:val="fr-CA"/>
        </w:rPr>
        <w:t>Université York en 2013 grâce à une subvention de l</w:t>
      </w:r>
      <w:r w:rsidR="00E24EBD">
        <w:rPr>
          <w:lang w:val="fr-CA"/>
        </w:rPr>
        <w:t>’</w:t>
      </w:r>
      <w:r w:rsidR="00CD3C74" w:rsidRPr="00CD3C74">
        <w:rPr>
          <w:lang w:val="fr-CA"/>
        </w:rPr>
        <w:t>Agence spatiale canadienne. Les données de niveau 1 sont fournies au niveau du regroupement utilisé pour acquérir les données. Les données de niveau 2 combinent les mesures d</w:t>
      </w:r>
      <w:r w:rsidR="00E24EBD">
        <w:rPr>
          <w:lang w:val="fr-CA"/>
        </w:rPr>
        <w:t>’</w:t>
      </w:r>
      <w:r w:rsidR="00CD3C74" w:rsidRPr="00CD3C74">
        <w:rPr>
          <w:lang w:val="fr-CA"/>
        </w:rPr>
        <w:t xml:space="preserve">images entières dans la détermination de profils individuels. </w:t>
      </w:r>
    </w:p>
    <w:p w:rsidR="00CD3C74" w:rsidRPr="00CD3C74" w:rsidRDefault="00CD3C74" w:rsidP="00CD3C74">
      <w:pPr>
        <w:jc w:val="both"/>
        <w:rPr>
          <w:lang w:val="fr-CA"/>
        </w:rPr>
      </w:pPr>
    </w:p>
    <w:p w:rsidR="00CD3C74" w:rsidRPr="00CD3C74" w:rsidRDefault="00CD3C74" w:rsidP="00CD3C74">
      <w:pPr>
        <w:jc w:val="both"/>
        <w:rPr>
          <w:lang w:val="fr-CA"/>
        </w:rPr>
      </w:pPr>
      <w:r w:rsidRPr="00CD3C74">
        <w:rPr>
          <w:lang w:val="fr-CA"/>
        </w:rPr>
        <w:tab/>
        <w:t>L</w:t>
      </w:r>
      <w:r w:rsidR="00E24EBD">
        <w:rPr>
          <w:lang w:val="fr-CA"/>
        </w:rPr>
        <w:t>’</w:t>
      </w:r>
      <w:r w:rsidRPr="00CD3C74">
        <w:rPr>
          <w:lang w:val="fr-CA"/>
        </w:rPr>
        <w:t>engin spatial UARS avait une orbite presque circulaire avec une altitude moyenne de 585</w:t>
      </w:r>
      <w:r w:rsidR="00C63377">
        <w:rPr>
          <w:lang w:val="fr-CA"/>
        </w:rPr>
        <w:t> </w:t>
      </w:r>
      <w:r w:rsidRPr="00CD3C74">
        <w:rPr>
          <w:lang w:val="fr-CA"/>
        </w:rPr>
        <w:t>kilomètres et une inclinaison de 57</w:t>
      </w:r>
      <w:r w:rsidR="00B055A8">
        <w:rPr>
          <w:lang w:val="fr-CA"/>
        </w:rPr>
        <w:t> degrés</w:t>
      </w:r>
      <w:r w:rsidRPr="00CD3C74">
        <w:rPr>
          <w:lang w:val="fr-CA"/>
        </w:rPr>
        <w:t>. L</w:t>
      </w:r>
      <w:r w:rsidR="00E24EBD">
        <w:rPr>
          <w:lang w:val="fr-CA"/>
        </w:rPr>
        <w:t>’</w:t>
      </w:r>
      <w:r w:rsidRPr="00CD3C74">
        <w:rPr>
          <w:lang w:val="fr-CA"/>
        </w:rPr>
        <w:t xml:space="preserve">orbite </w:t>
      </w:r>
      <w:r w:rsidR="00C63377">
        <w:rPr>
          <w:lang w:val="fr-CA"/>
        </w:rPr>
        <w:t>suivait une précession d’</w:t>
      </w:r>
      <w:r w:rsidRPr="00CD3C74">
        <w:rPr>
          <w:lang w:val="fr-CA"/>
        </w:rPr>
        <w:t>environ 5</w:t>
      </w:r>
      <w:r w:rsidR="00B055A8">
        <w:rPr>
          <w:lang w:val="fr-CA"/>
        </w:rPr>
        <w:t> degrés</w:t>
      </w:r>
      <w:r w:rsidRPr="00CD3C74">
        <w:rPr>
          <w:lang w:val="fr-CA"/>
        </w:rPr>
        <w:t xml:space="preserve"> par jour par rapport au </w:t>
      </w:r>
      <w:r w:rsidR="00C63377">
        <w:rPr>
          <w:lang w:val="fr-CA"/>
        </w:rPr>
        <w:t>S</w:t>
      </w:r>
      <w:r w:rsidRPr="00CD3C74">
        <w:rPr>
          <w:lang w:val="fr-CA"/>
        </w:rPr>
        <w:t>oleil, de sorte que sur une période d</w:t>
      </w:r>
      <w:r w:rsidR="00E24EBD">
        <w:rPr>
          <w:lang w:val="fr-CA"/>
        </w:rPr>
        <w:t>’</w:t>
      </w:r>
      <w:r w:rsidRPr="00CD3C74">
        <w:rPr>
          <w:lang w:val="fr-CA"/>
        </w:rPr>
        <w:t xml:space="preserve">environ 72 jours, tout le cycle diurne </w:t>
      </w:r>
      <w:r w:rsidR="00DA46E0">
        <w:rPr>
          <w:lang w:val="fr-CA"/>
        </w:rPr>
        <w:t>était éc</w:t>
      </w:r>
      <w:r w:rsidRPr="00CD3C74">
        <w:rPr>
          <w:lang w:val="fr-CA"/>
        </w:rPr>
        <w:t>hantillonné. Pour chaque jour de données, l</w:t>
      </w:r>
      <w:r w:rsidR="00E24EBD">
        <w:rPr>
          <w:lang w:val="fr-CA"/>
        </w:rPr>
        <w:t>’</w:t>
      </w:r>
      <w:r w:rsidRPr="00CD3C74">
        <w:rPr>
          <w:lang w:val="fr-CA"/>
        </w:rPr>
        <w:t>heure solaire locale était presque constante pour une latitude donnée. Puisqu</w:t>
      </w:r>
      <w:r w:rsidR="00E24EBD">
        <w:rPr>
          <w:lang w:val="fr-CA"/>
        </w:rPr>
        <w:t>’</w:t>
      </w:r>
      <w:r w:rsidRPr="00CD3C74">
        <w:rPr>
          <w:lang w:val="fr-CA"/>
        </w:rPr>
        <w:t>il y a deux côtés de l</w:t>
      </w:r>
      <w:r w:rsidR="00E24EBD">
        <w:rPr>
          <w:lang w:val="fr-CA"/>
        </w:rPr>
        <w:t>’</w:t>
      </w:r>
      <w:r w:rsidRPr="00CD3C74">
        <w:rPr>
          <w:lang w:val="fr-CA"/>
        </w:rPr>
        <w:t xml:space="preserve">orbite, ascendant et descendant, une </w:t>
      </w:r>
      <w:r w:rsidR="00DA46E0">
        <w:rPr>
          <w:lang w:val="fr-CA"/>
        </w:rPr>
        <w:t xml:space="preserve">nouvelle </w:t>
      </w:r>
      <w:r w:rsidRPr="00CD3C74">
        <w:rPr>
          <w:lang w:val="fr-CA"/>
        </w:rPr>
        <w:t>plage complète de 24</w:t>
      </w:r>
      <w:r w:rsidR="009352F0">
        <w:rPr>
          <w:lang w:val="fr-CA"/>
        </w:rPr>
        <w:t> </w:t>
      </w:r>
      <w:r w:rsidRPr="00CD3C74">
        <w:rPr>
          <w:lang w:val="fr-CA"/>
        </w:rPr>
        <w:t>heures d</w:t>
      </w:r>
      <w:r w:rsidR="00E24EBD">
        <w:rPr>
          <w:lang w:val="fr-CA"/>
        </w:rPr>
        <w:t>’</w:t>
      </w:r>
      <w:r w:rsidRPr="00CD3C74">
        <w:rPr>
          <w:lang w:val="fr-CA"/>
        </w:rPr>
        <w:t>heure locale p</w:t>
      </w:r>
      <w:r w:rsidR="00DA46E0">
        <w:rPr>
          <w:lang w:val="fr-CA"/>
        </w:rPr>
        <w:t xml:space="preserve">ouvait </w:t>
      </w:r>
      <w:r w:rsidRPr="00CD3C74">
        <w:rPr>
          <w:lang w:val="fr-CA"/>
        </w:rPr>
        <w:t xml:space="preserve">être visualisée tous les 36 jours. </w:t>
      </w:r>
    </w:p>
    <w:p w:rsidR="00CD3C74" w:rsidRPr="00CD3C74" w:rsidRDefault="00CD3C74" w:rsidP="00CD3C74">
      <w:pPr>
        <w:jc w:val="both"/>
        <w:rPr>
          <w:lang w:val="fr-CA"/>
        </w:rPr>
      </w:pPr>
    </w:p>
    <w:p w:rsidR="00F33104" w:rsidRPr="00CD3C74" w:rsidRDefault="00CD3C74" w:rsidP="00CD3C74">
      <w:pPr>
        <w:jc w:val="both"/>
        <w:rPr>
          <w:lang w:val="fr-CA"/>
        </w:rPr>
      </w:pPr>
      <w:r w:rsidRPr="00CD3C74">
        <w:rPr>
          <w:lang w:val="fr-CA"/>
        </w:rPr>
        <w:tab/>
        <w:t>Le satellite pivot</w:t>
      </w:r>
      <w:r w:rsidR="009352F0">
        <w:rPr>
          <w:lang w:val="fr-CA"/>
        </w:rPr>
        <w:t>ait</w:t>
      </w:r>
      <w:r w:rsidRPr="00CD3C74">
        <w:rPr>
          <w:lang w:val="fr-CA"/>
        </w:rPr>
        <w:t xml:space="preserve"> en lacet de 180</w:t>
      </w:r>
      <w:r w:rsidR="00B055A8">
        <w:rPr>
          <w:lang w:val="fr-CA"/>
        </w:rPr>
        <w:t> degrés</w:t>
      </w:r>
      <w:r w:rsidRPr="00CD3C74">
        <w:rPr>
          <w:lang w:val="fr-CA"/>
        </w:rPr>
        <w:t xml:space="preserve"> tous les 36 jours, afin de maintenir le soleil du même côté de l</w:t>
      </w:r>
      <w:r w:rsidR="00E24EBD">
        <w:rPr>
          <w:lang w:val="fr-CA"/>
        </w:rPr>
        <w:t>’</w:t>
      </w:r>
      <w:r w:rsidRPr="00CD3C74">
        <w:rPr>
          <w:lang w:val="fr-CA"/>
        </w:rPr>
        <w:t>engin spatial et de protéger les instruments du côté froid. WINDII était situé du côté froid de l</w:t>
      </w:r>
      <w:r w:rsidR="00E24EBD">
        <w:rPr>
          <w:lang w:val="fr-CA"/>
        </w:rPr>
        <w:t>’</w:t>
      </w:r>
      <w:r w:rsidRPr="00CD3C74">
        <w:rPr>
          <w:lang w:val="fr-CA"/>
        </w:rPr>
        <w:t>engin spatial.</w:t>
      </w:r>
    </w:p>
    <w:p w:rsidR="00F33104" w:rsidRPr="00CD3C74" w:rsidRDefault="00F33104">
      <w:pPr>
        <w:rPr>
          <w:lang w:val="fr-CA"/>
        </w:rPr>
      </w:pPr>
    </w:p>
    <w:p w:rsidR="00F33104" w:rsidRPr="00CD3C74" w:rsidRDefault="00F33104">
      <w:pPr>
        <w:jc w:val="both"/>
        <w:rPr>
          <w:lang w:val="fr-CA"/>
        </w:rPr>
      </w:pPr>
      <w:r w:rsidRPr="00CD3C74">
        <w:rPr>
          <w:lang w:val="fr-CA"/>
        </w:rPr>
        <w:tab/>
      </w:r>
      <w:r w:rsidR="00F51641" w:rsidRPr="00F51641">
        <w:rPr>
          <w:lang w:val="fr-CA"/>
        </w:rPr>
        <w:t>WINDII a effectué ses mesures en regardant le limbe de l</w:t>
      </w:r>
      <w:r w:rsidR="00E24EBD">
        <w:rPr>
          <w:lang w:val="fr-CA"/>
        </w:rPr>
        <w:t>’</w:t>
      </w:r>
      <w:r w:rsidR="00F51641" w:rsidRPr="00F51641">
        <w:rPr>
          <w:lang w:val="fr-CA"/>
        </w:rPr>
        <w:t>atmosphère avec deux champs de vision centrés à 45</w:t>
      </w:r>
      <w:r w:rsidR="00B055A8">
        <w:rPr>
          <w:lang w:val="fr-CA"/>
        </w:rPr>
        <w:t> degrés</w:t>
      </w:r>
      <w:r w:rsidR="00F51641" w:rsidRPr="00F51641">
        <w:rPr>
          <w:lang w:val="fr-CA"/>
        </w:rPr>
        <w:t xml:space="preserve"> et 135</w:t>
      </w:r>
      <w:r w:rsidR="00B055A8">
        <w:rPr>
          <w:lang w:val="fr-CA"/>
        </w:rPr>
        <w:t> degrés</w:t>
      </w:r>
      <w:r w:rsidR="00F51641" w:rsidRPr="00F51641">
        <w:rPr>
          <w:lang w:val="fr-CA"/>
        </w:rPr>
        <w:t xml:space="preserve"> par rapport au vecteur vitesse de l</w:t>
      </w:r>
      <w:r w:rsidR="00E24EBD">
        <w:rPr>
          <w:lang w:val="fr-CA"/>
        </w:rPr>
        <w:t>’</w:t>
      </w:r>
      <w:r w:rsidR="00F51641" w:rsidRPr="00F51641">
        <w:rPr>
          <w:lang w:val="fr-CA"/>
        </w:rPr>
        <w:t>engin spatial. Chaque champ (</w:t>
      </w:r>
      <w:r w:rsidR="00AC43A7">
        <w:rPr>
          <w:lang w:val="fr-CA"/>
        </w:rPr>
        <w:t xml:space="preserve">de vision) </w:t>
      </w:r>
      <w:r w:rsidR="00F51641" w:rsidRPr="00F51641">
        <w:rPr>
          <w:lang w:val="fr-CA"/>
        </w:rPr>
        <w:t>était de 4</w:t>
      </w:r>
      <w:r w:rsidR="00B055A8">
        <w:rPr>
          <w:lang w:val="fr-CA"/>
        </w:rPr>
        <w:t> degrés</w:t>
      </w:r>
      <w:r w:rsidR="00F51641" w:rsidRPr="00F51641">
        <w:rPr>
          <w:lang w:val="fr-CA"/>
        </w:rPr>
        <w:t xml:space="preserve"> (horizonta</w:t>
      </w:r>
      <w:r w:rsidR="00DA46E0">
        <w:rPr>
          <w:lang w:val="fr-CA"/>
        </w:rPr>
        <w:t>ux</w:t>
      </w:r>
      <w:r w:rsidR="00F51641" w:rsidRPr="00F51641">
        <w:rPr>
          <w:lang w:val="fr-CA"/>
        </w:rPr>
        <w:t>) par 6</w:t>
      </w:r>
      <w:r w:rsidR="00B055A8">
        <w:rPr>
          <w:lang w:val="fr-CA"/>
        </w:rPr>
        <w:t> degrés</w:t>
      </w:r>
      <w:r w:rsidR="00F51641" w:rsidRPr="00F51641">
        <w:rPr>
          <w:lang w:val="fr-CA"/>
        </w:rPr>
        <w:t xml:space="preserve"> (vertica</w:t>
      </w:r>
      <w:r w:rsidR="00DA46E0">
        <w:rPr>
          <w:lang w:val="fr-CA"/>
        </w:rPr>
        <w:t>ux</w:t>
      </w:r>
      <w:r w:rsidR="00F51641" w:rsidRPr="00F51641">
        <w:rPr>
          <w:lang w:val="fr-CA"/>
        </w:rPr>
        <w:t>). Les manœuvres de lacet de l</w:t>
      </w:r>
      <w:r w:rsidR="00E24EBD">
        <w:rPr>
          <w:lang w:val="fr-CA"/>
        </w:rPr>
        <w:t>’</w:t>
      </w:r>
      <w:r w:rsidR="00F51641" w:rsidRPr="00F51641">
        <w:rPr>
          <w:lang w:val="fr-CA"/>
        </w:rPr>
        <w:t>UARS ont dicté les latitudes vues par WINDII. Lorsque l</w:t>
      </w:r>
      <w:r w:rsidR="00E24EBD">
        <w:rPr>
          <w:lang w:val="fr-CA"/>
        </w:rPr>
        <w:t>’</w:t>
      </w:r>
      <w:r w:rsidR="008F623F">
        <w:rPr>
          <w:lang w:val="fr-CA"/>
        </w:rPr>
        <w:t xml:space="preserve">UARS se déplaçait </w:t>
      </w:r>
      <w:r w:rsidR="00F51641" w:rsidRPr="00F51641">
        <w:rPr>
          <w:lang w:val="fr-CA"/>
        </w:rPr>
        <w:t>vers l</w:t>
      </w:r>
      <w:r w:rsidR="00E24EBD">
        <w:rPr>
          <w:lang w:val="fr-CA"/>
        </w:rPr>
        <w:t>’</w:t>
      </w:r>
      <w:r w:rsidR="00F51641" w:rsidRPr="00F51641">
        <w:rPr>
          <w:lang w:val="fr-CA"/>
        </w:rPr>
        <w:t xml:space="preserve">avant, WINDII regardait vers le sud et </w:t>
      </w:r>
      <w:r w:rsidR="00DA46E0">
        <w:rPr>
          <w:lang w:val="fr-CA"/>
        </w:rPr>
        <w:t>voyait l</w:t>
      </w:r>
      <w:r w:rsidR="00F51641" w:rsidRPr="00F51641">
        <w:rPr>
          <w:lang w:val="fr-CA"/>
        </w:rPr>
        <w:t>es latitudes entre 72</w:t>
      </w:r>
      <w:r w:rsidR="00B055A8">
        <w:rPr>
          <w:lang w:val="fr-CA"/>
        </w:rPr>
        <w:t> degrés</w:t>
      </w:r>
      <w:r w:rsidR="00F51641" w:rsidRPr="00F51641">
        <w:rPr>
          <w:lang w:val="fr-CA"/>
        </w:rPr>
        <w:t xml:space="preserve"> sud et 42</w:t>
      </w:r>
      <w:r w:rsidR="00B055A8">
        <w:rPr>
          <w:lang w:val="fr-CA"/>
        </w:rPr>
        <w:t> degrés</w:t>
      </w:r>
      <w:r w:rsidR="00F51641" w:rsidRPr="00F51641">
        <w:rPr>
          <w:lang w:val="fr-CA"/>
        </w:rPr>
        <w:t xml:space="preserve"> nord. Quand </w:t>
      </w:r>
      <w:r w:rsidR="008F623F">
        <w:rPr>
          <w:lang w:val="fr-CA"/>
        </w:rPr>
        <w:t xml:space="preserve">il se déplaçait </w:t>
      </w:r>
      <w:r w:rsidR="00DA46E0">
        <w:rPr>
          <w:lang w:val="fr-CA"/>
        </w:rPr>
        <w:t>à reculons</w:t>
      </w:r>
      <w:r w:rsidR="00F51641" w:rsidRPr="00F51641">
        <w:rPr>
          <w:lang w:val="fr-CA"/>
        </w:rPr>
        <w:t xml:space="preserve">, WINDII regardait vers le nord et </w:t>
      </w:r>
      <w:r w:rsidR="00DA46E0">
        <w:rPr>
          <w:lang w:val="fr-CA"/>
        </w:rPr>
        <w:t xml:space="preserve">voyait les </w:t>
      </w:r>
      <w:r w:rsidR="00F51641" w:rsidRPr="00F51641">
        <w:rPr>
          <w:lang w:val="fr-CA"/>
        </w:rPr>
        <w:t>latitudes entre 42</w:t>
      </w:r>
      <w:r w:rsidR="00B055A8">
        <w:rPr>
          <w:lang w:val="fr-CA"/>
        </w:rPr>
        <w:t> degrés</w:t>
      </w:r>
      <w:r w:rsidR="00F51641" w:rsidRPr="00F51641">
        <w:rPr>
          <w:lang w:val="fr-CA"/>
        </w:rPr>
        <w:t xml:space="preserve"> sud et 72</w:t>
      </w:r>
      <w:r w:rsidR="00B055A8">
        <w:rPr>
          <w:lang w:val="fr-CA"/>
        </w:rPr>
        <w:t> degrés</w:t>
      </w:r>
      <w:r w:rsidR="00F51641" w:rsidRPr="00F51641">
        <w:rPr>
          <w:lang w:val="fr-CA"/>
        </w:rPr>
        <w:t xml:space="preserve"> nord. Ainsi, seule la région située entre 42</w:t>
      </w:r>
      <w:r w:rsidR="00B055A8">
        <w:rPr>
          <w:lang w:val="fr-CA"/>
        </w:rPr>
        <w:t> degrés</w:t>
      </w:r>
      <w:r w:rsidR="00F51641" w:rsidRPr="00F51641">
        <w:rPr>
          <w:lang w:val="fr-CA"/>
        </w:rPr>
        <w:t xml:space="preserve"> sud et 42</w:t>
      </w:r>
      <w:r w:rsidR="00B055A8">
        <w:rPr>
          <w:lang w:val="fr-CA"/>
        </w:rPr>
        <w:t> degrés</w:t>
      </w:r>
      <w:r w:rsidR="00F51641" w:rsidRPr="00F51641">
        <w:rPr>
          <w:lang w:val="fr-CA"/>
        </w:rPr>
        <w:t xml:space="preserve"> nord a fait l</w:t>
      </w:r>
      <w:r w:rsidR="00E24EBD">
        <w:rPr>
          <w:lang w:val="fr-CA"/>
        </w:rPr>
        <w:t>’</w:t>
      </w:r>
      <w:r w:rsidR="00F51641" w:rsidRPr="00F51641">
        <w:rPr>
          <w:lang w:val="fr-CA"/>
        </w:rPr>
        <w:t>objet d</w:t>
      </w:r>
      <w:r w:rsidR="00E24EBD">
        <w:rPr>
          <w:lang w:val="fr-CA"/>
        </w:rPr>
        <w:t>’</w:t>
      </w:r>
      <w:r w:rsidR="00F51641" w:rsidRPr="00F51641">
        <w:rPr>
          <w:lang w:val="fr-CA"/>
        </w:rPr>
        <w:t xml:space="preserve">un échantillonnage continu, tandis que les latitudes élevées </w:t>
      </w:r>
      <w:r w:rsidR="00C82DF4">
        <w:rPr>
          <w:lang w:val="fr-CA"/>
        </w:rPr>
        <w:t>étaient</w:t>
      </w:r>
      <w:r w:rsidR="00AC43A7">
        <w:rPr>
          <w:lang w:val="fr-CA"/>
        </w:rPr>
        <w:t xml:space="preserve"> é</w:t>
      </w:r>
      <w:r w:rsidR="00F51641" w:rsidRPr="00F51641">
        <w:rPr>
          <w:lang w:val="fr-CA"/>
        </w:rPr>
        <w:t xml:space="preserve">chantillonnées </w:t>
      </w:r>
      <w:r w:rsidR="008F623F">
        <w:rPr>
          <w:lang w:val="fr-CA"/>
        </w:rPr>
        <w:t xml:space="preserve">pendant les mois </w:t>
      </w:r>
      <w:r w:rsidR="00F51641" w:rsidRPr="00F51641">
        <w:rPr>
          <w:lang w:val="fr-CA"/>
        </w:rPr>
        <w:t>alternés.</w:t>
      </w:r>
    </w:p>
    <w:p w:rsidR="006F366E" w:rsidRPr="00CD3C74" w:rsidRDefault="006F366E">
      <w:pPr>
        <w:jc w:val="both"/>
        <w:rPr>
          <w:lang w:val="fr-CA"/>
        </w:rPr>
      </w:pPr>
    </w:p>
    <w:p w:rsidR="006F366E" w:rsidRPr="00CD3C74" w:rsidRDefault="006F366E">
      <w:pPr>
        <w:jc w:val="both"/>
        <w:rPr>
          <w:lang w:val="fr-CA"/>
        </w:rPr>
      </w:pPr>
    </w:p>
    <w:p w:rsidR="00F33104" w:rsidRPr="00CD3C74" w:rsidRDefault="00F33104">
      <w:pPr>
        <w:rPr>
          <w:lang w:val="fr-CA"/>
        </w:rPr>
      </w:pPr>
    </w:p>
    <w:p w:rsidR="00F33104" w:rsidRPr="00CD3C74" w:rsidRDefault="00F51641">
      <w:pPr>
        <w:rPr>
          <w:lang w:val="fr-CA"/>
        </w:rPr>
      </w:pPr>
      <w:r w:rsidRPr="00F51641">
        <w:rPr>
          <w:b/>
          <w:bCs/>
          <w:lang w:val="fr-CA"/>
        </w:rPr>
        <w:t>Objectifs d</w:t>
      </w:r>
      <w:r>
        <w:rPr>
          <w:b/>
          <w:bCs/>
          <w:lang w:val="fr-CA"/>
        </w:rPr>
        <w:t>’étude</w:t>
      </w:r>
    </w:p>
    <w:p w:rsidR="00F33104" w:rsidRPr="00CD3C74" w:rsidRDefault="00F33104">
      <w:pPr>
        <w:rPr>
          <w:lang w:val="fr-CA"/>
        </w:rPr>
      </w:pPr>
    </w:p>
    <w:p w:rsidR="00F33104" w:rsidRPr="00CD3C74" w:rsidRDefault="00F33104">
      <w:pPr>
        <w:jc w:val="both"/>
        <w:rPr>
          <w:lang w:val="fr-CA"/>
        </w:rPr>
      </w:pPr>
      <w:r w:rsidRPr="00CD3C74">
        <w:rPr>
          <w:lang w:val="fr-CA"/>
        </w:rPr>
        <w:tab/>
      </w:r>
      <w:r w:rsidR="00F51641" w:rsidRPr="00F51641">
        <w:rPr>
          <w:lang w:val="fr-CA"/>
        </w:rPr>
        <w:t>L</w:t>
      </w:r>
      <w:r w:rsidR="00E24EBD">
        <w:rPr>
          <w:lang w:val="fr-CA"/>
        </w:rPr>
        <w:t>’</w:t>
      </w:r>
      <w:r w:rsidR="00F51641" w:rsidRPr="00F51641">
        <w:rPr>
          <w:lang w:val="fr-CA"/>
        </w:rPr>
        <w:t>instrument WINDII a mesuré les vents, les températures et les taux d</w:t>
      </w:r>
      <w:r w:rsidR="00E24EBD">
        <w:rPr>
          <w:lang w:val="fr-CA"/>
        </w:rPr>
        <w:t>’</w:t>
      </w:r>
      <w:r w:rsidR="00F51641" w:rsidRPr="00F51641">
        <w:rPr>
          <w:lang w:val="fr-CA"/>
        </w:rPr>
        <w:t>émission de luminescence atmosphérique dans la mésosphère supérieure et la thermosphère inférieure à partir d</w:t>
      </w:r>
      <w:r w:rsidR="00E24EBD">
        <w:rPr>
          <w:lang w:val="fr-CA"/>
        </w:rPr>
        <w:t>’</w:t>
      </w:r>
      <w:r w:rsidR="00F51641" w:rsidRPr="00F51641">
        <w:rPr>
          <w:lang w:val="fr-CA"/>
        </w:rPr>
        <w:t xml:space="preserve">observations de la </w:t>
      </w:r>
      <w:r w:rsidR="002A6F18">
        <w:rPr>
          <w:lang w:val="fr-CA"/>
        </w:rPr>
        <w:t>luminescence atmosphérique</w:t>
      </w:r>
      <w:r w:rsidR="00F51641" w:rsidRPr="00F51641">
        <w:rPr>
          <w:lang w:val="fr-CA"/>
        </w:rPr>
        <w:t xml:space="preserve"> de la Terre. Des mesures </w:t>
      </w:r>
      <w:r w:rsidR="00C82DF4">
        <w:rPr>
          <w:lang w:val="fr-CA"/>
        </w:rPr>
        <w:t>étaient</w:t>
      </w:r>
      <w:r w:rsidR="00AC43A7">
        <w:rPr>
          <w:lang w:val="fr-CA"/>
        </w:rPr>
        <w:t xml:space="preserve"> e</w:t>
      </w:r>
      <w:r w:rsidR="00F51641" w:rsidRPr="00F51641">
        <w:rPr>
          <w:lang w:val="fr-CA"/>
        </w:rPr>
        <w:t xml:space="preserve">ffectuées de jour comme de nuit pour assurer </w:t>
      </w:r>
      <w:r w:rsidR="002A6F18">
        <w:rPr>
          <w:lang w:val="fr-CA"/>
        </w:rPr>
        <w:t>la</w:t>
      </w:r>
      <w:r w:rsidR="00F51641" w:rsidRPr="00F51641">
        <w:rPr>
          <w:lang w:val="fr-CA"/>
        </w:rPr>
        <w:t xml:space="preserve"> couverture mondiale dans cette région de l</w:t>
      </w:r>
      <w:r w:rsidR="00E24EBD">
        <w:rPr>
          <w:lang w:val="fr-CA"/>
        </w:rPr>
        <w:t>’</w:t>
      </w:r>
      <w:r w:rsidR="00F51641" w:rsidRPr="00F51641">
        <w:rPr>
          <w:lang w:val="fr-CA"/>
        </w:rPr>
        <w:t>atmosphère. Ces produits géophysiques peuvent donc être utilisés pour d</w:t>
      </w:r>
      <w:r w:rsidR="00E24EBD">
        <w:rPr>
          <w:lang w:val="fr-CA"/>
        </w:rPr>
        <w:t>’</w:t>
      </w:r>
      <w:r w:rsidR="00F51641" w:rsidRPr="00F51641">
        <w:rPr>
          <w:lang w:val="fr-CA"/>
        </w:rPr>
        <w:t>autres études de la dynamique de la haute atmosphère et du couplage entre la haute et la moyenne atmosphère.</w:t>
      </w:r>
    </w:p>
    <w:p w:rsidR="00F33104" w:rsidRPr="00CD3C74" w:rsidRDefault="00F33104">
      <w:pPr>
        <w:rPr>
          <w:lang w:val="fr-CA"/>
        </w:rPr>
      </w:pPr>
    </w:p>
    <w:p w:rsidR="00F33104" w:rsidRPr="00CD3C74" w:rsidRDefault="00F51641">
      <w:pPr>
        <w:rPr>
          <w:lang w:val="fr-CA"/>
        </w:rPr>
      </w:pPr>
      <w:r>
        <w:rPr>
          <w:b/>
          <w:bCs/>
          <w:lang w:val="fr-CA"/>
        </w:rPr>
        <w:t>Attributs de l’i</w:t>
      </w:r>
      <w:r w:rsidR="00F33104" w:rsidRPr="00CD3C74">
        <w:rPr>
          <w:b/>
          <w:bCs/>
          <w:lang w:val="fr-CA"/>
        </w:rPr>
        <w:t>nstrument</w:t>
      </w:r>
    </w:p>
    <w:p w:rsidR="00F33104" w:rsidRPr="00CD3C74" w:rsidRDefault="00F33104">
      <w:pPr>
        <w:rPr>
          <w:lang w:val="fr-CA"/>
        </w:rPr>
      </w:pPr>
    </w:p>
    <w:p w:rsidR="00F51641" w:rsidRPr="00F51641" w:rsidRDefault="00F33104" w:rsidP="00F51641">
      <w:pPr>
        <w:jc w:val="both"/>
        <w:rPr>
          <w:lang w:val="fr-CA"/>
        </w:rPr>
      </w:pPr>
      <w:r w:rsidRPr="00CD3C74">
        <w:rPr>
          <w:lang w:val="fr-CA"/>
        </w:rPr>
        <w:tab/>
      </w:r>
      <w:r w:rsidR="00F51641" w:rsidRPr="00F51641">
        <w:rPr>
          <w:lang w:val="fr-CA"/>
        </w:rPr>
        <w:t xml:space="preserve">WINDII était un interféromètre Michelson à champ élargi avec une </w:t>
      </w:r>
      <w:r w:rsidR="002A6F18">
        <w:rPr>
          <w:lang w:val="fr-CA"/>
        </w:rPr>
        <w:t>roue porte-filtre</w:t>
      </w:r>
      <w:r w:rsidR="00F51641" w:rsidRPr="00F51641">
        <w:rPr>
          <w:lang w:val="fr-CA"/>
        </w:rPr>
        <w:t xml:space="preserve"> à huit positions pour sélectionner les émissions </w:t>
      </w:r>
      <w:r w:rsidR="007A70BD">
        <w:rPr>
          <w:lang w:val="fr-CA"/>
        </w:rPr>
        <w:t>voulues</w:t>
      </w:r>
      <w:r w:rsidR="00F51641" w:rsidRPr="00F51641">
        <w:rPr>
          <w:lang w:val="fr-CA"/>
        </w:rPr>
        <w:t>. Il disposait d</w:t>
      </w:r>
      <w:r w:rsidR="00E24EBD">
        <w:rPr>
          <w:lang w:val="fr-CA"/>
        </w:rPr>
        <w:t>’</w:t>
      </w:r>
      <w:r w:rsidR="00F51641" w:rsidRPr="00F51641">
        <w:rPr>
          <w:lang w:val="fr-CA"/>
        </w:rPr>
        <w:t>un grand déflecteur avant qui, avec des miroirs pointant vers l</w:t>
      </w:r>
      <w:r w:rsidR="00E24EBD">
        <w:rPr>
          <w:lang w:val="fr-CA"/>
        </w:rPr>
        <w:t>’</w:t>
      </w:r>
      <w:r w:rsidR="00F51641" w:rsidRPr="00F51641">
        <w:rPr>
          <w:lang w:val="fr-CA"/>
        </w:rPr>
        <w:t xml:space="preserve">avant et des télescopes, définissait deux champs fixes. Les deux </w:t>
      </w:r>
      <w:r w:rsidR="007A70BD">
        <w:rPr>
          <w:lang w:val="fr-CA"/>
        </w:rPr>
        <w:t>champs</w:t>
      </w:r>
      <w:r w:rsidR="00F51641" w:rsidRPr="00F51641">
        <w:rPr>
          <w:lang w:val="fr-CA"/>
        </w:rPr>
        <w:t xml:space="preserve"> </w:t>
      </w:r>
      <w:r w:rsidR="007A70BD">
        <w:rPr>
          <w:lang w:val="fr-CA"/>
        </w:rPr>
        <w:t>étaient combinés</w:t>
      </w:r>
      <w:r w:rsidR="00F51641" w:rsidRPr="00F51641">
        <w:rPr>
          <w:lang w:val="fr-CA"/>
        </w:rPr>
        <w:t xml:space="preserve"> </w:t>
      </w:r>
      <w:r w:rsidR="007A70BD">
        <w:rPr>
          <w:lang w:val="fr-CA"/>
        </w:rPr>
        <w:t xml:space="preserve">en un champ </w:t>
      </w:r>
      <w:r w:rsidR="00F51641" w:rsidRPr="00F51641">
        <w:rPr>
          <w:lang w:val="fr-CA"/>
        </w:rPr>
        <w:t xml:space="preserve">dans un </w:t>
      </w:r>
      <w:r w:rsidR="007A70BD">
        <w:rPr>
          <w:lang w:val="fr-CA"/>
        </w:rPr>
        <w:t xml:space="preserve">prisme à cet effet </w:t>
      </w:r>
      <w:r w:rsidR="00F51641" w:rsidRPr="00F51641">
        <w:rPr>
          <w:lang w:val="fr-CA"/>
        </w:rPr>
        <w:t xml:space="preserve">et </w:t>
      </w:r>
      <w:r w:rsidR="00AC43A7">
        <w:rPr>
          <w:lang w:val="fr-CA"/>
        </w:rPr>
        <w:t>étaient</w:t>
      </w:r>
      <w:r w:rsidR="00F51641" w:rsidRPr="00F51641">
        <w:rPr>
          <w:lang w:val="fr-CA"/>
        </w:rPr>
        <w:t xml:space="preserve"> ensuite été imagés, côte à côte, à travers l</w:t>
      </w:r>
      <w:r w:rsidR="00E24EBD">
        <w:rPr>
          <w:lang w:val="fr-CA"/>
        </w:rPr>
        <w:t>’</w:t>
      </w:r>
      <w:r w:rsidR="00F51641" w:rsidRPr="00F51641">
        <w:rPr>
          <w:lang w:val="fr-CA"/>
        </w:rPr>
        <w:t>optique Michelson et l</w:t>
      </w:r>
      <w:r w:rsidR="00E24EBD">
        <w:rPr>
          <w:lang w:val="fr-CA"/>
        </w:rPr>
        <w:t>’</w:t>
      </w:r>
      <w:r w:rsidR="00F51641" w:rsidRPr="00F51641">
        <w:rPr>
          <w:lang w:val="fr-CA"/>
        </w:rPr>
        <w:t>optique de la caméra sur un détecteur à couplage de charge (CCD).</w:t>
      </w:r>
    </w:p>
    <w:p w:rsidR="00F51641" w:rsidRPr="00F51641" w:rsidRDefault="00F51641" w:rsidP="00F51641">
      <w:pPr>
        <w:jc w:val="both"/>
        <w:rPr>
          <w:lang w:val="fr-CA"/>
        </w:rPr>
      </w:pPr>
    </w:p>
    <w:p w:rsidR="00F33104" w:rsidRPr="00CD3C74" w:rsidRDefault="00F51641" w:rsidP="00F51641">
      <w:pPr>
        <w:jc w:val="both"/>
        <w:rPr>
          <w:lang w:val="fr-CA"/>
        </w:rPr>
      </w:pPr>
      <w:r w:rsidRPr="00F51641">
        <w:rPr>
          <w:lang w:val="fr-CA"/>
        </w:rPr>
        <w:tab/>
        <w:t xml:space="preserve">Un </w:t>
      </w:r>
      <w:r w:rsidR="007A70BD">
        <w:rPr>
          <w:lang w:val="fr-CA"/>
        </w:rPr>
        <w:t xml:space="preserve">champ était orienté </w:t>
      </w:r>
      <w:r w:rsidRPr="00F51641">
        <w:rPr>
          <w:lang w:val="fr-CA"/>
        </w:rPr>
        <w:t>vers l</w:t>
      </w:r>
      <w:r w:rsidR="00E24EBD">
        <w:rPr>
          <w:lang w:val="fr-CA"/>
        </w:rPr>
        <w:t>’</w:t>
      </w:r>
      <w:r w:rsidRPr="00F51641">
        <w:rPr>
          <w:lang w:val="fr-CA"/>
        </w:rPr>
        <w:t>avant à 45</w:t>
      </w:r>
      <w:r w:rsidR="00B055A8">
        <w:rPr>
          <w:lang w:val="fr-CA"/>
        </w:rPr>
        <w:t> degrés</w:t>
      </w:r>
      <w:r w:rsidRPr="00F51641">
        <w:rPr>
          <w:lang w:val="fr-CA"/>
        </w:rPr>
        <w:t xml:space="preserve"> par rapport au vecteur vitesse du satellite et </w:t>
      </w:r>
      <w:r w:rsidR="007A70BD">
        <w:rPr>
          <w:lang w:val="fr-CA"/>
        </w:rPr>
        <w:t xml:space="preserve">l’autre champ visait </w:t>
      </w:r>
      <w:r w:rsidRPr="00F51641">
        <w:rPr>
          <w:lang w:val="fr-CA"/>
        </w:rPr>
        <w:t>vers l</w:t>
      </w:r>
      <w:r w:rsidR="00E24EBD">
        <w:rPr>
          <w:lang w:val="fr-CA"/>
        </w:rPr>
        <w:t>’</w:t>
      </w:r>
      <w:r w:rsidRPr="00F51641">
        <w:rPr>
          <w:lang w:val="fr-CA"/>
        </w:rPr>
        <w:t>arrière à 135</w:t>
      </w:r>
      <w:r w:rsidR="00B055A8">
        <w:rPr>
          <w:lang w:val="fr-CA"/>
        </w:rPr>
        <w:t> degrés</w:t>
      </w:r>
      <w:r w:rsidRPr="00F51641">
        <w:rPr>
          <w:lang w:val="fr-CA"/>
        </w:rPr>
        <w:t xml:space="preserve"> par rapport au vecteur vitesse. Les deux </w:t>
      </w:r>
      <w:r w:rsidR="007A70BD">
        <w:rPr>
          <w:lang w:val="fr-CA"/>
        </w:rPr>
        <w:t xml:space="preserve">axes de visée des champs </w:t>
      </w:r>
      <w:r w:rsidRPr="00F51641">
        <w:rPr>
          <w:lang w:val="fr-CA"/>
        </w:rPr>
        <w:t>étaient inclinés de 22,1</w:t>
      </w:r>
      <w:r w:rsidR="00B055A8">
        <w:rPr>
          <w:lang w:val="fr-CA"/>
        </w:rPr>
        <w:t> degrés</w:t>
      </w:r>
      <w:r w:rsidRPr="00F51641">
        <w:rPr>
          <w:lang w:val="fr-CA"/>
        </w:rPr>
        <w:t xml:space="preserve"> sous le plan horizontal nominal de l</w:t>
      </w:r>
      <w:r w:rsidR="00E24EBD">
        <w:rPr>
          <w:lang w:val="fr-CA"/>
        </w:rPr>
        <w:t>’</w:t>
      </w:r>
      <w:r w:rsidRPr="00F51641">
        <w:rPr>
          <w:lang w:val="fr-CA"/>
        </w:rPr>
        <w:t>engin spatial. Ceci a donné une couverture d</w:t>
      </w:r>
      <w:r w:rsidR="00E24EBD">
        <w:rPr>
          <w:lang w:val="fr-CA"/>
        </w:rPr>
        <w:t>’</w:t>
      </w:r>
      <w:r w:rsidRPr="00F51641">
        <w:rPr>
          <w:lang w:val="fr-CA"/>
        </w:rPr>
        <w:t xml:space="preserve">altitude maximale de 70 à 300 km pour chaque </w:t>
      </w:r>
      <w:r w:rsidR="007A70BD">
        <w:rPr>
          <w:lang w:val="fr-CA"/>
        </w:rPr>
        <w:t>champ</w:t>
      </w:r>
      <w:r w:rsidRPr="00F51641">
        <w:rPr>
          <w:lang w:val="fr-CA"/>
        </w:rPr>
        <w:t>. La portée horizontale était de 160</w:t>
      </w:r>
      <w:r w:rsidR="007A70BD">
        <w:rPr>
          <w:lang w:val="fr-CA"/>
        </w:rPr>
        <w:t> km</w:t>
      </w:r>
      <w:r w:rsidRPr="00F51641">
        <w:rPr>
          <w:lang w:val="fr-CA"/>
        </w:rPr>
        <w:t xml:space="preserve"> au niveau du </w:t>
      </w:r>
      <w:r w:rsidR="00AC43A7">
        <w:rPr>
          <w:lang w:val="fr-CA"/>
        </w:rPr>
        <w:t>limbe</w:t>
      </w:r>
      <w:r w:rsidRPr="00F51641">
        <w:rPr>
          <w:lang w:val="fr-CA"/>
        </w:rPr>
        <w:t xml:space="preserve"> dans chaque </w:t>
      </w:r>
      <w:r w:rsidR="007A70BD">
        <w:rPr>
          <w:lang w:val="fr-CA"/>
        </w:rPr>
        <w:t>champ</w:t>
      </w:r>
      <w:r w:rsidRPr="00F51641">
        <w:rPr>
          <w:lang w:val="fr-CA"/>
        </w:rPr>
        <w:t>. En raison de l</w:t>
      </w:r>
      <w:r w:rsidR="00E24EBD">
        <w:rPr>
          <w:lang w:val="fr-CA"/>
        </w:rPr>
        <w:t>’</w:t>
      </w:r>
      <w:r w:rsidR="007A70BD">
        <w:rPr>
          <w:lang w:val="fr-CA"/>
        </w:rPr>
        <w:t>aplatissement</w:t>
      </w:r>
      <w:r w:rsidRPr="00F51641">
        <w:rPr>
          <w:lang w:val="fr-CA"/>
        </w:rPr>
        <w:t xml:space="preserve"> de la Terre, la couverture verticale </w:t>
      </w:r>
      <w:r w:rsidR="007A70BD">
        <w:rPr>
          <w:lang w:val="fr-CA"/>
        </w:rPr>
        <w:t xml:space="preserve">variait </w:t>
      </w:r>
      <w:r w:rsidRPr="00F51641">
        <w:rPr>
          <w:lang w:val="fr-CA"/>
        </w:rPr>
        <w:t>d</w:t>
      </w:r>
      <w:r w:rsidR="00E24EBD">
        <w:rPr>
          <w:lang w:val="fr-CA"/>
        </w:rPr>
        <w:t>’</w:t>
      </w:r>
      <w:r w:rsidRPr="00F51641">
        <w:rPr>
          <w:lang w:val="fr-CA"/>
        </w:rPr>
        <w:t>environ 20</w:t>
      </w:r>
      <w:r w:rsidR="007A70BD">
        <w:rPr>
          <w:lang w:val="fr-CA"/>
        </w:rPr>
        <w:t> km</w:t>
      </w:r>
      <w:r w:rsidRPr="00F51641">
        <w:rPr>
          <w:lang w:val="fr-CA"/>
        </w:rPr>
        <w:t xml:space="preserve"> sur une orbite. L</w:t>
      </w:r>
      <w:r w:rsidR="00E24EBD">
        <w:rPr>
          <w:lang w:val="fr-CA"/>
        </w:rPr>
        <w:t>’</w:t>
      </w:r>
      <w:r w:rsidRPr="00F51641">
        <w:rPr>
          <w:lang w:val="fr-CA"/>
        </w:rPr>
        <w:t>attitude du satellite UARS était contrôlée et l</w:t>
      </w:r>
      <w:r w:rsidR="00E24EBD">
        <w:rPr>
          <w:lang w:val="fr-CA"/>
        </w:rPr>
        <w:t>’</w:t>
      </w:r>
      <w:r w:rsidRPr="00F51641">
        <w:rPr>
          <w:lang w:val="fr-CA"/>
        </w:rPr>
        <w:t xml:space="preserve">attitude finale était connue, de sorte que la direction de visée était bien connue. Le CCD </w:t>
      </w:r>
      <w:r w:rsidR="007A70BD">
        <w:rPr>
          <w:lang w:val="fr-CA"/>
        </w:rPr>
        <w:t xml:space="preserve">comportait </w:t>
      </w:r>
      <w:r w:rsidRPr="00F51641">
        <w:rPr>
          <w:lang w:val="fr-CA"/>
        </w:rPr>
        <w:t>320 pixels à l</w:t>
      </w:r>
      <w:r w:rsidR="00E24EBD">
        <w:rPr>
          <w:lang w:val="fr-CA"/>
        </w:rPr>
        <w:t>’</w:t>
      </w:r>
      <w:r w:rsidRPr="00F51641">
        <w:rPr>
          <w:lang w:val="fr-CA"/>
        </w:rPr>
        <w:t xml:space="preserve">horizontale, 160 pixels dans chaque </w:t>
      </w:r>
      <w:r w:rsidR="007A70BD">
        <w:rPr>
          <w:lang w:val="fr-CA"/>
        </w:rPr>
        <w:t>champ</w:t>
      </w:r>
      <w:r w:rsidRPr="00F51641">
        <w:rPr>
          <w:lang w:val="fr-CA"/>
        </w:rPr>
        <w:t xml:space="preserve"> et 256 pixels à la verticale. Ce</w:t>
      </w:r>
      <w:r w:rsidR="007A70BD">
        <w:rPr>
          <w:lang w:val="fr-CA"/>
        </w:rPr>
        <w:t xml:space="preserve">la donnait une </w:t>
      </w:r>
      <w:r w:rsidRPr="00F51641">
        <w:rPr>
          <w:lang w:val="fr-CA"/>
        </w:rPr>
        <w:t>résolution d</w:t>
      </w:r>
      <w:r w:rsidR="00E24EBD">
        <w:rPr>
          <w:lang w:val="fr-CA"/>
        </w:rPr>
        <w:t>’</w:t>
      </w:r>
      <w:r w:rsidRPr="00F51641">
        <w:rPr>
          <w:lang w:val="fr-CA"/>
        </w:rPr>
        <w:t>altitude maximale de 1</w:t>
      </w:r>
      <w:r w:rsidR="007A70BD">
        <w:rPr>
          <w:lang w:val="fr-CA"/>
        </w:rPr>
        <w:t> km</w:t>
      </w:r>
      <w:r w:rsidRPr="00F51641">
        <w:rPr>
          <w:lang w:val="fr-CA"/>
        </w:rPr>
        <w:t xml:space="preserve">. Dans les données WINDII, FD1 </w:t>
      </w:r>
      <w:r w:rsidR="00AC43A7">
        <w:rPr>
          <w:lang w:val="fr-CA"/>
        </w:rPr>
        <w:t>correspond</w:t>
      </w:r>
      <w:r w:rsidRPr="00F51641">
        <w:rPr>
          <w:lang w:val="fr-CA"/>
        </w:rPr>
        <w:t xml:space="preserve"> aux observations </w:t>
      </w:r>
      <w:r w:rsidR="007A70BD">
        <w:rPr>
          <w:lang w:val="fr-CA"/>
        </w:rPr>
        <w:t>avant</w:t>
      </w:r>
      <w:r w:rsidRPr="00F51641">
        <w:rPr>
          <w:lang w:val="fr-CA"/>
        </w:rPr>
        <w:t xml:space="preserve"> et FD2 aux observations </w:t>
      </w:r>
      <w:r w:rsidR="007A70BD">
        <w:rPr>
          <w:lang w:val="fr-CA"/>
        </w:rPr>
        <w:t>arrière</w:t>
      </w:r>
      <w:r w:rsidRPr="00F51641">
        <w:rPr>
          <w:lang w:val="fr-CA"/>
        </w:rPr>
        <w:t>.</w:t>
      </w:r>
      <w:r w:rsidR="00AB1DE6" w:rsidRPr="00CD3C74">
        <w:rPr>
          <w:color w:val="FF0000"/>
          <w:lang w:val="fr-CA"/>
        </w:rPr>
        <w:t xml:space="preserve"> </w:t>
      </w:r>
    </w:p>
    <w:p w:rsidR="00F33104" w:rsidRPr="00CD3C74" w:rsidRDefault="00F33104">
      <w:pPr>
        <w:rPr>
          <w:lang w:val="fr-CA"/>
        </w:rPr>
      </w:pPr>
    </w:p>
    <w:p w:rsidR="00F51641" w:rsidRPr="00F51641" w:rsidRDefault="00F33104" w:rsidP="00F51641">
      <w:pPr>
        <w:jc w:val="both"/>
        <w:rPr>
          <w:lang w:val="fr-CA"/>
        </w:rPr>
      </w:pPr>
      <w:r w:rsidRPr="00CD3C74">
        <w:rPr>
          <w:lang w:val="fr-CA"/>
        </w:rPr>
        <w:tab/>
      </w:r>
      <w:r w:rsidR="00F51641" w:rsidRPr="00F51641">
        <w:rPr>
          <w:lang w:val="fr-CA"/>
        </w:rPr>
        <w:t>WINDII s</w:t>
      </w:r>
      <w:r w:rsidR="007A70BD">
        <w:rPr>
          <w:lang w:val="fr-CA"/>
        </w:rPr>
        <w:t xml:space="preserve">’est vu attribuer </w:t>
      </w:r>
      <w:r w:rsidR="00F51641" w:rsidRPr="00F51641">
        <w:rPr>
          <w:lang w:val="fr-CA"/>
        </w:rPr>
        <w:t>un faible débit de 2000 bits par</w:t>
      </w:r>
      <w:r w:rsidR="00DD005C">
        <w:rPr>
          <w:lang w:val="fr-CA"/>
        </w:rPr>
        <w:t> s</w:t>
      </w:r>
      <w:r w:rsidR="00F51641" w:rsidRPr="00F51641">
        <w:rPr>
          <w:lang w:val="fr-CA"/>
        </w:rPr>
        <w:t>onde, d</w:t>
      </w:r>
      <w:r w:rsidR="00E24EBD">
        <w:rPr>
          <w:lang w:val="fr-CA"/>
        </w:rPr>
        <w:t>’</w:t>
      </w:r>
      <w:r w:rsidR="00F51641" w:rsidRPr="00F51641">
        <w:rPr>
          <w:lang w:val="fr-CA"/>
        </w:rPr>
        <w:t>où la division de la zone d</w:t>
      </w:r>
      <w:r w:rsidR="00E24EBD">
        <w:rPr>
          <w:lang w:val="fr-CA"/>
        </w:rPr>
        <w:t>’</w:t>
      </w:r>
      <w:r w:rsidR="00F51641" w:rsidRPr="00F51641">
        <w:rPr>
          <w:lang w:val="fr-CA"/>
        </w:rPr>
        <w:t xml:space="preserve">image CCD en </w:t>
      </w:r>
      <w:r w:rsidR="00AC43A7">
        <w:rPr>
          <w:lang w:val="fr-CA"/>
        </w:rPr>
        <w:t>cellules</w:t>
      </w:r>
      <w:r w:rsidR="00F51641" w:rsidRPr="00F51641">
        <w:rPr>
          <w:lang w:val="fr-CA"/>
        </w:rPr>
        <w:t xml:space="preserve"> et ces c</w:t>
      </w:r>
      <w:r w:rsidR="00AC43A7">
        <w:rPr>
          <w:lang w:val="fr-CA"/>
        </w:rPr>
        <w:t xml:space="preserve">ellules étaient </w:t>
      </w:r>
      <w:r w:rsidR="00F51641" w:rsidRPr="00F51641">
        <w:rPr>
          <w:lang w:val="fr-CA"/>
        </w:rPr>
        <w:t xml:space="preserve">disposées en fenêtres dans chaque </w:t>
      </w:r>
      <w:r w:rsidR="007A70BD">
        <w:rPr>
          <w:lang w:val="fr-CA"/>
        </w:rPr>
        <w:t>champ</w:t>
      </w:r>
      <w:r w:rsidR="00F51641" w:rsidRPr="00F51641">
        <w:rPr>
          <w:lang w:val="fr-CA"/>
        </w:rPr>
        <w:t xml:space="preserve">. Les émissions de luminescence mesurées par </w:t>
      </w:r>
      <w:r w:rsidR="00AC43A7">
        <w:rPr>
          <w:lang w:val="fr-CA"/>
        </w:rPr>
        <w:t>cellule</w:t>
      </w:r>
      <w:r w:rsidR="00F51641" w:rsidRPr="00F51641">
        <w:rPr>
          <w:lang w:val="fr-CA"/>
        </w:rPr>
        <w:t xml:space="preserve"> sont faibles et</w:t>
      </w:r>
      <w:r w:rsidR="00C82DF4">
        <w:rPr>
          <w:lang w:val="fr-CA"/>
        </w:rPr>
        <w:t xml:space="preserve"> le</w:t>
      </w:r>
      <w:r w:rsidR="00F51641" w:rsidRPr="00F51641">
        <w:rPr>
          <w:lang w:val="fr-CA"/>
        </w:rPr>
        <w:t xml:space="preserve"> </w:t>
      </w:r>
      <w:r w:rsidR="007A70BD">
        <w:rPr>
          <w:lang w:val="fr-CA"/>
        </w:rPr>
        <w:t>regroupement</w:t>
      </w:r>
      <w:r w:rsidR="00F51641" w:rsidRPr="00F51641">
        <w:rPr>
          <w:lang w:val="fr-CA"/>
        </w:rPr>
        <w:t xml:space="preserve"> des pixels a également amélioré le rapport signal/bruit. Le </w:t>
      </w:r>
      <w:r w:rsidR="007A70BD">
        <w:rPr>
          <w:lang w:val="fr-CA"/>
        </w:rPr>
        <w:t>groupement</w:t>
      </w:r>
      <w:r w:rsidR="00F51641" w:rsidRPr="00F51641">
        <w:rPr>
          <w:lang w:val="fr-CA"/>
        </w:rPr>
        <w:t xml:space="preserve"> a été effectué sur le CCD et le signal de chaque cellule </w:t>
      </w:r>
      <w:r w:rsidR="00AC43A7">
        <w:rPr>
          <w:lang w:val="fr-CA"/>
        </w:rPr>
        <w:t xml:space="preserve">était </w:t>
      </w:r>
      <w:r w:rsidR="00F51641" w:rsidRPr="00F51641">
        <w:rPr>
          <w:lang w:val="fr-CA"/>
        </w:rPr>
        <w:t>converti en une valeur numérique par un convertisseur analogique-numérique 12 bits. Les paramètres de la caméra, le fenêtrage, le temps d</w:t>
      </w:r>
      <w:r w:rsidR="00E24EBD">
        <w:rPr>
          <w:lang w:val="fr-CA"/>
        </w:rPr>
        <w:t>’</w:t>
      </w:r>
      <w:r w:rsidR="00F51641" w:rsidRPr="00F51641">
        <w:rPr>
          <w:lang w:val="fr-CA"/>
        </w:rPr>
        <w:t xml:space="preserve">exposition, le filtre et le pas de phase </w:t>
      </w:r>
      <w:r w:rsidR="00C82DF4">
        <w:rPr>
          <w:lang w:val="fr-CA"/>
        </w:rPr>
        <w:t>étaient</w:t>
      </w:r>
      <w:r w:rsidR="00AC43A7">
        <w:rPr>
          <w:lang w:val="fr-CA"/>
        </w:rPr>
        <w:t xml:space="preserve"> t</w:t>
      </w:r>
      <w:r w:rsidR="00F51641" w:rsidRPr="00F51641">
        <w:rPr>
          <w:lang w:val="fr-CA"/>
        </w:rPr>
        <w:t>ransmis avec les données d</w:t>
      </w:r>
      <w:r w:rsidR="00E24EBD">
        <w:rPr>
          <w:lang w:val="fr-CA"/>
        </w:rPr>
        <w:t>’</w:t>
      </w:r>
      <w:r w:rsidR="00F51641" w:rsidRPr="00F51641">
        <w:rPr>
          <w:lang w:val="fr-CA"/>
        </w:rPr>
        <w:t>image pour chaque image. Les données d</w:t>
      </w:r>
      <w:r w:rsidR="00E24EBD">
        <w:rPr>
          <w:lang w:val="fr-CA"/>
        </w:rPr>
        <w:t>’</w:t>
      </w:r>
      <w:r w:rsidR="00F51641" w:rsidRPr="00F51641">
        <w:rPr>
          <w:lang w:val="fr-CA"/>
        </w:rPr>
        <w:t xml:space="preserve">ingénierie ont également été envoyées sur un canal séparé </w:t>
      </w:r>
      <w:r w:rsidR="00C82DF4">
        <w:rPr>
          <w:lang w:val="fr-CA"/>
        </w:rPr>
        <w:t>à</w:t>
      </w:r>
      <w:r w:rsidR="00F51641" w:rsidRPr="00F51641">
        <w:rPr>
          <w:lang w:val="fr-CA"/>
        </w:rPr>
        <w:t xml:space="preserve"> 1</w:t>
      </w:r>
      <w:r w:rsidR="00C82DF4">
        <w:rPr>
          <w:lang w:val="fr-CA"/>
        </w:rPr>
        <w:t> k</w:t>
      </w:r>
      <w:r w:rsidR="00F51641" w:rsidRPr="00F51641">
        <w:rPr>
          <w:lang w:val="fr-CA"/>
        </w:rPr>
        <w:t>bit/</w:t>
      </w:r>
      <w:r w:rsidR="00AC43A7">
        <w:rPr>
          <w:lang w:val="fr-CA"/>
        </w:rPr>
        <w:t>sec</w:t>
      </w:r>
      <w:r w:rsidR="00F51641" w:rsidRPr="00F51641">
        <w:rPr>
          <w:lang w:val="fr-CA"/>
        </w:rPr>
        <w:t>onde.</w:t>
      </w:r>
    </w:p>
    <w:p w:rsidR="00F51641" w:rsidRPr="00F51641" w:rsidRDefault="00F51641" w:rsidP="00F51641">
      <w:pPr>
        <w:jc w:val="both"/>
        <w:rPr>
          <w:lang w:val="fr-CA"/>
        </w:rPr>
      </w:pPr>
    </w:p>
    <w:p w:rsidR="00F51641" w:rsidRPr="00F51641" w:rsidRDefault="00C82DF4" w:rsidP="00F51641">
      <w:pPr>
        <w:jc w:val="both"/>
        <w:rPr>
          <w:lang w:val="fr-CA"/>
        </w:rPr>
      </w:pPr>
      <w:r>
        <w:rPr>
          <w:lang w:val="fr-CA"/>
        </w:rPr>
        <w:t>D</w:t>
      </w:r>
      <w:r w:rsidR="00F51641" w:rsidRPr="00F51641">
        <w:rPr>
          <w:lang w:val="fr-CA"/>
        </w:rPr>
        <w:t>es sources d</w:t>
      </w:r>
      <w:r w:rsidR="00E24EBD">
        <w:rPr>
          <w:lang w:val="fr-CA"/>
        </w:rPr>
        <w:t>’</w:t>
      </w:r>
      <w:r w:rsidR="00F51641" w:rsidRPr="00F51641">
        <w:rPr>
          <w:lang w:val="fr-CA"/>
        </w:rPr>
        <w:t xml:space="preserve">étalonnage embarquées </w:t>
      </w:r>
      <w:r>
        <w:rPr>
          <w:lang w:val="fr-CA"/>
        </w:rPr>
        <w:t>étaient</w:t>
      </w:r>
      <w:r w:rsidR="00AC43A7">
        <w:rPr>
          <w:lang w:val="fr-CA"/>
        </w:rPr>
        <w:t xml:space="preserve"> u</w:t>
      </w:r>
      <w:r w:rsidR="00F51641" w:rsidRPr="00F51641">
        <w:rPr>
          <w:lang w:val="fr-CA"/>
        </w:rPr>
        <w:t>tilisées pour surveiller la phase de l</w:t>
      </w:r>
      <w:r w:rsidR="00E24EBD">
        <w:rPr>
          <w:lang w:val="fr-CA"/>
        </w:rPr>
        <w:t>’</w:t>
      </w:r>
      <w:r w:rsidR="00F51641" w:rsidRPr="00F51641">
        <w:rPr>
          <w:lang w:val="fr-CA"/>
        </w:rPr>
        <w:t xml:space="preserve">instrument dans le cadre du cycle de mesure normal. Ces étalonnages fréquents </w:t>
      </w:r>
      <w:r>
        <w:rPr>
          <w:lang w:val="fr-CA"/>
        </w:rPr>
        <w:t>étaient</w:t>
      </w:r>
      <w:r w:rsidR="00AC43A7">
        <w:rPr>
          <w:lang w:val="fr-CA"/>
        </w:rPr>
        <w:t xml:space="preserve"> e</w:t>
      </w:r>
      <w:r w:rsidR="00F51641" w:rsidRPr="00F51641">
        <w:rPr>
          <w:lang w:val="fr-CA"/>
        </w:rPr>
        <w:t>ffectués, avec des mesures de courant d</w:t>
      </w:r>
      <w:r w:rsidR="00E24EBD">
        <w:rPr>
          <w:lang w:val="fr-CA"/>
        </w:rPr>
        <w:t>’</w:t>
      </w:r>
      <w:r w:rsidR="00F51641" w:rsidRPr="00F51641">
        <w:rPr>
          <w:lang w:val="fr-CA"/>
        </w:rPr>
        <w:t xml:space="preserve">obscurité, toutes les 10 à 15 minutes. Une image de courant </w:t>
      </w:r>
      <w:r>
        <w:rPr>
          <w:lang w:val="fr-CA"/>
        </w:rPr>
        <w:t>d’obscurité</w:t>
      </w:r>
      <w:r w:rsidR="00F51641" w:rsidRPr="00F51641">
        <w:rPr>
          <w:lang w:val="fr-CA"/>
        </w:rPr>
        <w:t xml:space="preserve"> </w:t>
      </w:r>
      <w:r>
        <w:rPr>
          <w:lang w:val="fr-CA"/>
        </w:rPr>
        <w:t xml:space="preserve">était </w:t>
      </w:r>
      <w:r w:rsidR="00F51641" w:rsidRPr="00F51641">
        <w:rPr>
          <w:lang w:val="fr-CA"/>
        </w:rPr>
        <w:t>prise avec les portes du déflecteur fermées, toutes les sources d</w:t>
      </w:r>
      <w:r>
        <w:rPr>
          <w:lang w:val="fr-CA"/>
        </w:rPr>
        <w:t xml:space="preserve">’étalonnage fermées et le </w:t>
      </w:r>
      <w:r w:rsidR="00F51641" w:rsidRPr="00F51641">
        <w:rPr>
          <w:lang w:val="fr-CA"/>
        </w:rPr>
        <w:t>même temps de fenêtrage et d</w:t>
      </w:r>
      <w:r w:rsidR="00E24EBD">
        <w:rPr>
          <w:lang w:val="fr-CA"/>
        </w:rPr>
        <w:t>’</w:t>
      </w:r>
      <w:r w:rsidR="00F51641" w:rsidRPr="00F51641">
        <w:rPr>
          <w:lang w:val="fr-CA"/>
        </w:rPr>
        <w:t>exposition que la mesure atmosphérique correspondante. Le courant d</w:t>
      </w:r>
      <w:r w:rsidR="00E24EBD">
        <w:rPr>
          <w:lang w:val="fr-CA"/>
        </w:rPr>
        <w:t>’</w:t>
      </w:r>
      <w:r w:rsidR="00F51641" w:rsidRPr="00F51641">
        <w:rPr>
          <w:lang w:val="fr-CA"/>
        </w:rPr>
        <w:t xml:space="preserve">obscurité </w:t>
      </w:r>
      <w:r>
        <w:rPr>
          <w:lang w:val="fr-CA"/>
        </w:rPr>
        <w:t>était</w:t>
      </w:r>
      <w:r w:rsidR="00F51641" w:rsidRPr="00F51641">
        <w:rPr>
          <w:lang w:val="fr-CA"/>
        </w:rPr>
        <w:t xml:space="preserve"> mesuré directement afin de suivre les changements de température du détecteur CCD. Environ une fois par semaine, un étalonnage complet </w:t>
      </w:r>
      <w:r>
        <w:rPr>
          <w:lang w:val="fr-CA"/>
        </w:rPr>
        <w:t>était</w:t>
      </w:r>
      <w:r w:rsidR="00F51641" w:rsidRPr="00F51641">
        <w:rPr>
          <w:lang w:val="fr-CA"/>
        </w:rPr>
        <w:t xml:space="preserve"> effectué. Les données issues de ces étalonnages peu fréquents </w:t>
      </w:r>
      <w:r>
        <w:rPr>
          <w:lang w:val="fr-CA"/>
        </w:rPr>
        <w:t xml:space="preserve">étaient </w:t>
      </w:r>
      <w:r w:rsidR="00F51641" w:rsidRPr="00F51641">
        <w:rPr>
          <w:lang w:val="fr-CA"/>
        </w:rPr>
        <w:t xml:space="preserve">analysées hors </w:t>
      </w:r>
      <w:r w:rsidR="00060F50">
        <w:rPr>
          <w:lang w:val="fr-CA"/>
        </w:rPr>
        <w:t>raie</w:t>
      </w:r>
      <w:r w:rsidR="00F51641" w:rsidRPr="00F51641">
        <w:rPr>
          <w:lang w:val="fr-CA"/>
        </w:rPr>
        <w:t xml:space="preserve"> afin de rechercher tout changement </w:t>
      </w:r>
      <w:r>
        <w:rPr>
          <w:lang w:val="fr-CA"/>
        </w:rPr>
        <w:t xml:space="preserve">touchant </w:t>
      </w:r>
      <w:r w:rsidR="00F51641" w:rsidRPr="00F51641">
        <w:rPr>
          <w:lang w:val="fr-CA"/>
        </w:rPr>
        <w:t>l</w:t>
      </w:r>
      <w:r w:rsidR="00E24EBD">
        <w:rPr>
          <w:lang w:val="fr-CA"/>
        </w:rPr>
        <w:t>’</w:t>
      </w:r>
      <w:r w:rsidR="00F51641" w:rsidRPr="00F51641">
        <w:rPr>
          <w:lang w:val="fr-CA"/>
        </w:rPr>
        <w:t xml:space="preserve">instrument au cours de la mission UARS. Lorsque des modifications </w:t>
      </w:r>
      <w:r>
        <w:rPr>
          <w:lang w:val="fr-CA"/>
        </w:rPr>
        <w:t xml:space="preserve">étaient </w:t>
      </w:r>
      <w:r w:rsidR="00F51641" w:rsidRPr="00F51641">
        <w:rPr>
          <w:lang w:val="fr-CA"/>
        </w:rPr>
        <w:t xml:space="preserve">trouvées, la base de données de caractérisation CDB </w:t>
      </w:r>
      <w:r>
        <w:rPr>
          <w:lang w:val="fr-CA"/>
        </w:rPr>
        <w:lastRenderedPageBreak/>
        <w:t>était</w:t>
      </w:r>
      <w:r w:rsidR="00F51641" w:rsidRPr="00F51641">
        <w:rPr>
          <w:lang w:val="fr-CA"/>
        </w:rPr>
        <w:t xml:space="preserve"> mise à jour. Ce</w:t>
      </w:r>
      <w:r>
        <w:rPr>
          <w:lang w:val="fr-CA"/>
        </w:rPr>
        <w:t>tte base de données</w:t>
      </w:r>
      <w:r w:rsidR="00F51641" w:rsidRPr="00F51641">
        <w:rPr>
          <w:lang w:val="fr-CA"/>
        </w:rPr>
        <w:t xml:space="preserve"> CDB </w:t>
      </w:r>
      <w:r>
        <w:rPr>
          <w:lang w:val="fr-CA"/>
        </w:rPr>
        <w:t>était</w:t>
      </w:r>
      <w:r w:rsidR="00F51641" w:rsidRPr="00F51641">
        <w:rPr>
          <w:lang w:val="fr-CA"/>
        </w:rPr>
        <w:t xml:space="preserve"> utilisé</w:t>
      </w:r>
      <w:r w:rsidR="00060F50">
        <w:rPr>
          <w:lang w:val="fr-CA"/>
        </w:rPr>
        <w:t>e</w:t>
      </w:r>
      <w:r w:rsidR="00F51641" w:rsidRPr="00F51641">
        <w:rPr>
          <w:lang w:val="fr-CA"/>
        </w:rPr>
        <w:t xml:space="preserve"> comme </w:t>
      </w:r>
      <w:r w:rsidR="00060F50">
        <w:rPr>
          <w:lang w:val="fr-CA"/>
        </w:rPr>
        <w:t>source de données d’</w:t>
      </w:r>
      <w:r w:rsidR="00F51641" w:rsidRPr="00F51641">
        <w:rPr>
          <w:lang w:val="fr-CA"/>
        </w:rPr>
        <w:t xml:space="preserve">entrée dans le SDPPS et </w:t>
      </w:r>
      <w:r>
        <w:rPr>
          <w:lang w:val="fr-CA"/>
        </w:rPr>
        <w:t>était</w:t>
      </w:r>
      <w:r w:rsidR="00F51641" w:rsidRPr="00F51641">
        <w:rPr>
          <w:lang w:val="fr-CA"/>
        </w:rPr>
        <w:t xml:space="preserve"> stocké</w:t>
      </w:r>
      <w:r w:rsidR="00060F50">
        <w:rPr>
          <w:lang w:val="fr-CA"/>
        </w:rPr>
        <w:t>e</w:t>
      </w:r>
      <w:r w:rsidR="00F51641" w:rsidRPr="00F51641">
        <w:rPr>
          <w:lang w:val="fr-CA"/>
        </w:rPr>
        <w:t xml:space="preserve"> sous la forme d</w:t>
      </w:r>
      <w:r w:rsidR="00E24EBD">
        <w:rPr>
          <w:lang w:val="fr-CA"/>
        </w:rPr>
        <w:t>’</w:t>
      </w:r>
      <w:r w:rsidR="00F51641" w:rsidRPr="00F51641">
        <w:rPr>
          <w:lang w:val="fr-CA"/>
        </w:rPr>
        <w:t>un ensemble de fichiers catalogués. Les fichiers de données créés par SDPPS contiennent un</w:t>
      </w:r>
      <w:r w:rsidR="00AC43A7">
        <w:rPr>
          <w:lang w:val="fr-CA"/>
        </w:rPr>
        <w:t xml:space="preserve"> renvoi</w:t>
      </w:r>
      <w:r w:rsidR="00F51641" w:rsidRPr="00F51641">
        <w:rPr>
          <w:lang w:val="fr-CA"/>
        </w:rPr>
        <w:t xml:space="preserve"> au fichier CDB utilisé. Les données d</w:t>
      </w:r>
      <w:r w:rsidR="00E24EBD">
        <w:rPr>
          <w:lang w:val="fr-CA"/>
        </w:rPr>
        <w:t>’</w:t>
      </w:r>
      <w:r w:rsidR="00F51641" w:rsidRPr="00F51641">
        <w:rPr>
          <w:lang w:val="fr-CA"/>
        </w:rPr>
        <w:t>étalonnage ne sont pas requises pour utiliser le produit de données de niveau 1 ou de niveau 2, mais elles sont principalement utilisées dans le traitement de niveau 0 à 1.</w:t>
      </w:r>
    </w:p>
    <w:p w:rsidR="00F51641" w:rsidRPr="00F51641" w:rsidRDefault="00F51641" w:rsidP="00F51641">
      <w:pPr>
        <w:jc w:val="both"/>
        <w:rPr>
          <w:lang w:val="fr-CA"/>
        </w:rPr>
      </w:pPr>
    </w:p>
    <w:p w:rsidR="00F33104" w:rsidRPr="00CD3C74" w:rsidRDefault="00F51641" w:rsidP="00F51641">
      <w:pPr>
        <w:jc w:val="both"/>
        <w:rPr>
          <w:lang w:val="fr-CA"/>
        </w:rPr>
      </w:pPr>
      <w:r w:rsidRPr="00F51641">
        <w:rPr>
          <w:lang w:val="fr-CA"/>
        </w:rPr>
        <w:t>Le mode de fonctionnement normal de l</w:t>
      </w:r>
      <w:r w:rsidR="00E24EBD">
        <w:rPr>
          <w:lang w:val="fr-CA"/>
        </w:rPr>
        <w:t>’</w:t>
      </w:r>
      <w:r w:rsidRPr="00F51641">
        <w:rPr>
          <w:lang w:val="fr-CA"/>
        </w:rPr>
        <w:t>instrument consistait à effectuer une mesure de l</w:t>
      </w:r>
      <w:r w:rsidR="00E24EBD">
        <w:rPr>
          <w:lang w:val="fr-CA"/>
        </w:rPr>
        <w:t>’</w:t>
      </w:r>
      <w:r w:rsidRPr="00F51641">
        <w:rPr>
          <w:lang w:val="fr-CA"/>
        </w:rPr>
        <w:t>arrière-plan suivie d</w:t>
      </w:r>
      <w:r w:rsidR="00E24EBD">
        <w:rPr>
          <w:lang w:val="fr-CA"/>
        </w:rPr>
        <w:t>’</w:t>
      </w:r>
      <w:r w:rsidRPr="00F51641">
        <w:rPr>
          <w:lang w:val="fr-CA"/>
        </w:rPr>
        <w:t xml:space="preserve">une mesure de la </w:t>
      </w:r>
      <w:r w:rsidR="00060F50">
        <w:rPr>
          <w:lang w:val="fr-CA"/>
        </w:rPr>
        <w:t>raie</w:t>
      </w:r>
      <w:r w:rsidRPr="00F51641">
        <w:rPr>
          <w:lang w:val="fr-CA"/>
        </w:rPr>
        <w:t xml:space="preserve"> d</w:t>
      </w:r>
      <w:r w:rsidR="00E24EBD">
        <w:rPr>
          <w:lang w:val="fr-CA"/>
        </w:rPr>
        <w:t>’</w:t>
      </w:r>
      <w:r w:rsidRPr="00F51641">
        <w:rPr>
          <w:lang w:val="fr-CA"/>
        </w:rPr>
        <w:t xml:space="preserve">émission atmosphérique. Les différentes mesures </w:t>
      </w:r>
      <w:proofErr w:type="spellStart"/>
      <w:r w:rsidR="00C82DF4">
        <w:rPr>
          <w:lang w:val="fr-CA"/>
        </w:rPr>
        <w:t>étaient</w:t>
      </w:r>
      <w:r w:rsidRPr="00F51641">
        <w:rPr>
          <w:lang w:val="fr-CA"/>
        </w:rPr>
        <w:t>s</w:t>
      </w:r>
      <w:proofErr w:type="spellEnd"/>
      <w:r w:rsidR="00060F50">
        <w:rPr>
          <w:lang w:val="fr-CA"/>
        </w:rPr>
        <w:t xml:space="preserve"> </w:t>
      </w:r>
      <w:proofErr w:type="spellStart"/>
      <w:r w:rsidRPr="00F51641">
        <w:rPr>
          <w:lang w:val="fr-CA"/>
        </w:rPr>
        <w:t>électionnées</w:t>
      </w:r>
      <w:proofErr w:type="spellEnd"/>
      <w:r w:rsidRPr="00F51641">
        <w:rPr>
          <w:lang w:val="fr-CA"/>
        </w:rPr>
        <w:t xml:space="preserve"> en </w:t>
      </w:r>
      <w:r w:rsidR="00AC43A7">
        <w:rPr>
          <w:lang w:val="fr-CA"/>
        </w:rPr>
        <w:t>faisant tourner</w:t>
      </w:r>
      <w:r w:rsidRPr="00F51641">
        <w:rPr>
          <w:lang w:val="fr-CA"/>
        </w:rPr>
        <w:t xml:space="preserve"> une </w:t>
      </w:r>
      <w:r w:rsidR="00060F50">
        <w:rPr>
          <w:lang w:val="fr-CA"/>
        </w:rPr>
        <w:t>roue porte-filtre</w:t>
      </w:r>
      <w:r w:rsidRPr="00F51641">
        <w:rPr>
          <w:lang w:val="fr-CA"/>
        </w:rPr>
        <w:t xml:space="preserve"> contenant 7 filtres d</w:t>
      </w:r>
      <w:r w:rsidR="00E24EBD">
        <w:rPr>
          <w:lang w:val="fr-CA"/>
        </w:rPr>
        <w:t>’</w:t>
      </w:r>
      <w:r w:rsidRPr="00F51641">
        <w:rPr>
          <w:lang w:val="fr-CA"/>
        </w:rPr>
        <w:t xml:space="preserve">interférence et un filtre à blanc. La séquence de mesures </w:t>
      </w:r>
      <w:r w:rsidR="00C82DF4">
        <w:rPr>
          <w:lang w:val="fr-CA"/>
        </w:rPr>
        <w:t>était</w:t>
      </w:r>
      <w:r w:rsidRPr="00F51641">
        <w:rPr>
          <w:lang w:val="fr-CA"/>
        </w:rPr>
        <w:t xml:space="preserve"> définie par des séquences de groupes de filtres. Le groupe de filtres était une table stockée en mémoire dans l</w:t>
      </w:r>
      <w:r w:rsidR="00E24EBD">
        <w:rPr>
          <w:lang w:val="fr-CA"/>
        </w:rPr>
        <w:t>’</w:t>
      </w:r>
      <w:r w:rsidRPr="00F51641">
        <w:rPr>
          <w:lang w:val="fr-CA"/>
        </w:rPr>
        <w:t>instrument qui définissait la taille d</w:t>
      </w:r>
      <w:r w:rsidR="00060F50">
        <w:rPr>
          <w:lang w:val="fr-CA"/>
        </w:rPr>
        <w:t>es</w:t>
      </w:r>
      <w:r w:rsidR="001B3AD9">
        <w:rPr>
          <w:lang w:val="fr-CA"/>
        </w:rPr>
        <w:t xml:space="preserve"> cellules de stockage </w:t>
      </w:r>
      <w:r w:rsidRPr="00F51641">
        <w:rPr>
          <w:lang w:val="fr-CA"/>
        </w:rPr>
        <w:t>(nombre de pixels dans la verticale et l</w:t>
      </w:r>
      <w:r w:rsidR="00E24EBD">
        <w:rPr>
          <w:lang w:val="fr-CA"/>
        </w:rPr>
        <w:t>’</w:t>
      </w:r>
      <w:r w:rsidRPr="00F51641">
        <w:rPr>
          <w:lang w:val="fr-CA"/>
        </w:rPr>
        <w:t xml:space="preserve">horizontale), le nombre de </w:t>
      </w:r>
      <w:r w:rsidR="001B3AD9">
        <w:rPr>
          <w:lang w:val="fr-CA"/>
        </w:rPr>
        <w:t>cellules</w:t>
      </w:r>
      <w:r w:rsidRPr="00F51641">
        <w:rPr>
          <w:lang w:val="fr-CA"/>
        </w:rPr>
        <w:t xml:space="preserve"> dans une fenêtre (nombre de </w:t>
      </w:r>
      <w:r w:rsidR="00060F50">
        <w:rPr>
          <w:lang w:val="fr-CA"/>
        </w:rPr>
        <w:t>raie</w:t>
      </w:r>
      <w:r w:rsidRPr="00F51641">
        <w:rPr>
          <w:lang w:val="fr-CA"/>
        </w:rPr>
        <w:t>s dans la verticale et nombre de colonnes dans l</w:t>
      </w:r>
      <w:r w:rsidR="00E24EBD">
        <w:rPr>
          <w:lang w:val="fr-CA"/>
        </w:rPr>
        <w:t>’</w:t>
      </w:r>
      <w:r w:rsidRPr="00F51641">
        <w:rPr>
          <w:lang w:val="fr-CA"/>
        </w:rPr>
        <w:t>horizontale). La fenêtre de mesure pou</w:t>
      </w:r>
      <w:r w:rsidR="001B3AD9">
        <w:rPr>
          <w:lang w:val="fr-CA"/>
        </w:rPr>
        <w:t>vai</w:t>
      </w:r>
      <w:r w:rsidRPr="00F51641">
        <w:rPr>
          <w:lang w:val="fr-CA"/>
        </w:rPr>
        <w:t>t être située n</w:t>
      </w:r>
      <w:r w:rsidR="00E24EBD">
        <w:rPr>
          <w:lang w:val="fr-CA"/>
        </w:rPr>
        <w:t>’</w:t>
      </w:r>
      <w:r w:rsidRPr="00F51641">
        <w:rPr>
          <w:lang w:val="fr-CA"/>
        </w:rPr>
        <w:t xml:space="preserve">importe où dans le </w:t>
      </w:r>
      <w:r w:rsidR="007A70BD">
        <w:rPr>
          <w:lang w:val="fr-CA"/>
        </w:rPr>
        <w:t>champ</w:t>
      </w:r>
      <w:r w:rsidRPr="00F51641">
        <w:rPr>
          <w:lang w:val="fr-CA"/>
        </w:rPr>
        <w:t>. L</w:t>
      </w:r>
      <w:r w:rsidR="00E24EBD">
        <w:rPr>
          <w:lang w:val="fr-CA"/>
        </w:rPr>
        <w:t>’</w:t>
      </w:r>
      <w:r w:rsidRPr="00F51641">
        <w:rPr>
          <w:lang w:val="fr-CA"/>
        </w:rPr>
        <w:t xml:space="preserve">emplacement de la fenêtre était le même dans chacun des deux champs de vision et était défini dans le groupe de filtres par le nombre de rangées de </w:t>
      </w:r>
      <w:r w:rsidR="001B3AD9">
        <w:rPr>
          <w:lang w:val="fr-CA"/>
        </w:rPr>
        <w:t>cellules</w:t>
      </w:r>
      <w:r w:rsidRPr="00F51641">
        <w:rPr>
          <w:lang w:val="fr-CA"/>
        </w:rPr>
        <w:t xml:space="preserve"> à partir du bas du CCD et le nombre de pixels à l</w:t>
      </w:r>
      <w:r w:rsidR="00E24EBD">
        <w:rPr>
          <w:lang w:val="fr-CA"/>
        </w:rPr>
        <w:t>’</w:t>
      </w:r>
      <w:r w:rsidRPr="00F51641">
        <w:rPr>
          <w:lang w:val="fr-CA"/>
        </w:rPr>
        <w:t>horizontale à partir du bord extérieur du CCD. La source d</w:t>
      </w:r>
      <w:r w:rsidR="00E24EBD">
        <w:rPr>
          <w:lang w:val="fr-CA"/>
        </w:rPr>
        <w:t>’</w:t>
      </w:r>
      <w:r w:rsidRPr="00F51641">
        <w:rPr>
          <w:lang w:val="fr-CA"/>
        </w:rPr>
        <w:t>étalonnage utilisée pour ce filtre a également été définie ainsi que l</w:t>
      </w:r>
      <w:r w:rsidR="00E24EBD">
        <w:rPr>
          <w:lang w:val="fr-CA"/>
        </w:rPr>
        <w:t>’</w:t>
      </w:r>
      <w:r w:rsidRPr="00F51641">
        <w:rPr>
          <w:lang w:val="fr-CA"/>
        </w:rPr>
        <w:t>étalonnage du courant d</w:t>
      </w:r>
      <w:r w:rsidR="00E24EBD">
        <w:rPr>
          <w:lang w:val="fr-CA"/>
        </w:rPr>
        <w:t>’</w:t>
      </w:r>
      <w:r w:rsidRPr="00F51641">
        <w:rPr>
          <w:lang w:val="fr-CA"/>
        </w:rPr>
        <w:t>obscurité</w:t>
      </w:r>
      <w:r w:rsidR="00F33104" w:rsidRPr="00CD3C74">
        <w:rPr>
          <w:lang w:val="fr-CA"/>
        </w:rPr>
        <w:t>.</w:t>
      </w:r>
    </w:p>
    <w:p w:rsidR="00F33104" w:rsidRPr="00CD3C74" w:rsidRDefault="00F33104">
      <w:pPr>
        <w:rPr>
          <w:lang w:val="fr-CA"/>
        </w:rPr>
      </w:pPr>
    </w:p>
    <w:p w:rsidR="00F33104" w:rsidRPr="00CD3C74" w:rsidRDefault="00F33104">
      <w:pPr>
        <w:rPr>
          <w:lang w:val="fr-CA"/>
        </w:rPr>
      </w:pPr>
      <w:r w:rsidRPr="00CD3C74">
        <w:rPr>
          <w:b/>
          <w:bCs/>
          <w:lang w:val="fr-CA"/>
        </w:rPr>
        <w:t>Param</w:t>
      </w:r>
      <w:r w:rsidR="00F51641">
        <w:rPr>
          <w:b/>
          <w:bCs/>
          <w:lang w:val="fr-CA"/>
        </w:rPr>
        <w:t>ètres mesurés</w:t>
      </w:r>
    </w:p>
    <w:p w:rsidR="00F33104" w:rsidRPr="00CD3C74" w:rsidRDefault="00F33104">
      <w:pPr>
        <w:rPr>
          <w:lang w:val="fr-CA"/>
        </w:rPr>
      </w:pPr>
    </w:p>
    <w:p w:rsidR="00F33104" w:rsidRPr="00CD3C74" w:rsidRDefault="00F33104">
      <w:pPr>
        <w:jc w:val="both"/>
        <w:rPr>
          <w:lang w:val="fr-CA"/>
        </w:rPr>
      </w:pPr>
      <w:r w:rsidRPr="00CD3C74">
        <w:rPr>
          <w:lang w:val="fr-CA"/>
        </w:rPr>
        <w:tab/>
      </w:r>
      <w:r w:rsidR="00F51641" w:rsidRPr="00F51641">
        <w:rPr>
          <w:lang w:val="fr-CA"/>
        </w:rPr>
        <w:t>Vent, température et taux d</w:t>
      </w:r>
      <w:r w:rsidR="00E24EBD">
        <w:rPr>
          <w:lang w:val="fr-CA"/>
        </w:rPr>
        <w:t>’</w:t>
      </w:r>
      <w:r w:rsidR="00F51641" w:rsidRPr="00F51641">
        <w:rPr>
          <w:lang w:val="fr-CA"/>
        </w:rPr>
        <w:t>émission avec couverture globale à une résolution d</w:t>
      </w:r>
      <w:r w:rsidR="00E24EBD">
        <w:rPr>
          <w:lang w:val="fr-CA"/>
        </w:rPr>
        <w:t>’</w:t>
      </w:r>
      <w:r w:rsidR="00F51641" w:rsidRPr="00F51641">
        <w:rPr>
          <w:lang w:val="fr-CA"/>
        </w:rPr>
        <w:t>altitude de 2 à 4</w:t>
      </w:r>
      <w:r w:rsidR="007A70BD">
        <w:rPr>
          <w:lang w:val="fr-CA"/>
        </w:rPr>
        <w:t> km</w:t>
      </w:r>
      <w:r w:rsidR="00F51641" w:rsidRPr="00F51641">
        <w:rPr>
          <w:lang w:val="fr-CA"/>
        </w:rPr>
        <w:t>. Plage d</w:t>
      </w:r>
      <w:r w:rsidR="00E24EBD">
        <w:rPr>
          <w:lang w:val="fr-CA"/>
        </w:rPr>
        <w:t>’</w:t>
      </w:r>
      <w:r w:rsidR="00F51641" w:rsidRPr="00F51641">
        <w:rPr>
          <w:lang w:val="fr-CA"/>
        </w:rPr>
        <w:t>altitude = 70 à 300</w:t>
      </w:r>
      <w:r w:rsidR="007A70BD">
        <w:rPr>
          <w:lang w:val="fr-CA"/>
        </w:rPr>
        <w:t> km</w:t>
      </w:r>
      <w:r w:rsidR="00F51641" w:rsidRPr="00F51641">
        <w:rPr>
          <w:lang w:val="fr-CA"/>
        </w:rPr>
        <w:t xml:space="preserve"> maximum, la portée réelle </w:t>
      </w:r>
      <w:r w:rsidR="00AC43A7">
        <w:rPr>
          <w:lang w:val="fr-CA"/>
        </w:rPr>
        <w:t>étant fonction</w:t>
      </w:r>
      <w:r w:rsidR="00F51641" w:rsidRPr="00F51641">
        <w:rPr>
          <w:lang w:val="fr-CA"/>
        </w:rPr>
        <w:t xml:space="preserve"> de la </w:t>
      </w:r>
      <w:r w:rsidR="00060F50">
        <w:rPr>
          <w:lang w:val="fr-CA"/>
        </w:rPr>
        <w:t>raie</w:t>
      </w:r>
      <w:r w:rsidR="00F51641" w:rsidRPr="00F51641">
        <w:rPr>
          <w:lang w:val="fr-CA"/>
        </w:rPr>
        <w:t xml:space="preserve"> d</w:t>
      </w:r>
      <w:r w:rsidR="00E24EBD">
        <w:rPr>
          <w:lang w:val="fr-CA"/>
        </w:rPr>
        <w:t>’</w:t>
      </w:r>
      <w:r w:rsidR="00F51641" w:rsidRPr="00F51641">
        <w:rPr>
          <w:lang w:val="fr-CA"/>
        </w:rPr>
        <w:t>émission observée</w:t>
      </w:r>
      <w:r w:rsidR="0081706E" w:rsidRPr="00CD3C74">
        <w:rPr>
          <w:lang w:val="fr-CA"/>
        </w:rPr>
        <w:t>.</w:t>
      </w:r>
    </w:p>
    <w:p w:rsidR="00F33104" w:rsidRPr="00CD3C74" w:rsidRDefault="00F33104">
      <w:pPr>
        <w:jc w:val="both"/>
        <w:rPr>
          <w:lang w:val="fr-CA"/>
        </w:rPr>
      </w:pPr>
    </w:p>
    <w:p w:rsidR="00F33104" w:rsidRPr="00CD3C74" w:rsidRDefault="00F51641">
      <w:pPr>
        <w:jc w:val="both"/>
        <w:rPr>
          <w:lang w:val="fr-CA"/>
        </w:rPr>
      </w:pPr>
      <w:r>
        <w:rPr>
          <w:b/>
          <w:color w:val="000000"/>
          <w:lang w:val="fr-CA"/>
        </w:rPr>
        <w:t>Raies d’émission observées</w:t>
      </w:r>
    </w:p>
    <w:p w:rsidR="00F33104" w:rsidRPr="00CD3C74" w:rsidRDefault="00F33104">
      <w:pPr>
        <w:jc w:val="both"/>
        <w:rPr>
          <w:b/>
          <w:color w:val="000000"/>
          <w:lang w:val="fr-CA"/>
        </w:rPr>
      </w:pPr>
    </w:p>
    <w:p w:rsidR="00F33104" w:rsidRPr="00CD3C74" w:rsidRDefault="001B3AD9">
      <w:pPr>
        <w:jc w:val="both"/>
        <w:rPr>
          <w:lang w:val="fr-CA"/>
        </w:rPr>
      </w:pPr>
      <w:r>
        <w:rPr>
          <w:color w:val="000000"/>
          <w:lang w:val="fr-CA"/>
        </w:rPr>
        <w:tab/>
      </w:r>
      <w:r w:rsidR="00F51641" w:rsidRPr="00F51641">
        <w:rPr>
          <w:color w:val="000000"/>
          <w:lang w:val="fr-CA"/>
        </w:rPr>
        <w:t>Les raies d</w:t>
      </w:r>
      <w:r w:rsidR="00E24EBD">
        <w:rPr>
          <w:color w:val="000000"/>
          <w:lang w:val="fr-CA"/>
        </w:rPr>
        <w:t>’</w:t>
      </w:r>
      <w:r w:rsidR="00F51641" w:rsidRPr="00F51641">
        <w:rPr>
          <w:color w:val="000000"/>
          <w:lang w:val="fr-CA"/>
        </w:rPr>
        <w:t>émission observées sont montrées dans le tableau suivant, avec leurs longueurs d</w:t>
      </w:r>
      <w:r w:rsidR="00E24EBD">
        <w:rPr>
          <w:color w:val="000000"/>
          <w:lang w:val="fr-CA"/>
        </w:rPr>
        <w:t>’</w:t>
      </w:r>
      <w:r w:rsidR="00F51641" w:rsidRPr="00F51641">
        <w:rPr>
          <w:color w:val="000000"/>
          <w:lang w:val="fr-CA"/>
        </w:rPr>
        <w:t>onde, le numéro de filtre pour leur observation, la longueur d</w:t>
      </w:r>
      <w:r w:rsidR="00E24EBD">
        <w:rPr>
          <w:color w:val="000000"/>
          <w:lang w:val="fr-CA"/>
        </w:rPr>
        <w:t>’</w:t>
      </w:r>
      <w:r w:rsidR="00F51641" w:rsidRPr="00F51641">
        <w:rPr>
          <w:color w:val="000000"/>
          <w:lang w:val="fr-CA"/>
        </w:rPr>
        <w:t>onde centrale pour le filtre et sa pleine largeur à moitié maximum</w:t>
      </w:r>
      <w:r w:rsidR="00F33104" w:rsidRPr="00CD3C74">
        <w:rPr>
          <w:color w:val="000000"/>
          <w:lang w:val="fr-CA"/>
        </w:rPr>
        <w:t xml:space="preserve">. </w:t>
      </w:r>
    </w:p>
    <w:p w:rsidR="00F33104" w:rsidRPr="00CD3C74" w:rsidRDefault="00F33104">
      <w:pPr>
        <w:jc w:val="both"/>
        <w:rPr>
          <w:color w:val="FF0000"/>
          <w:lang w:val="fr-CA"/>
        </w:rPr>
      </w:pPr>
    </w:p>
    <w:p w:rsidR="00F33104" w:rsidRPr="00CD3C74" w:rsidRDefault="00F33104">
      <w:pPr>
        <w:rPr>
          <w:lang w:val="fr-CA"/>
        </w:rPr>
      </w:pPr>
      <w:r w:rsidRPr="00CD3C74">
        <w:rPr>
          <w:rFonts w:eastAsia="Times New Roman" w:cs="Times New Roman"/>
          <w:lang w:val="fr-CA"/>
        </w:rPr>
        <w:t xml:space="preserve">                        </w:t>
      </w:r>
      <w:r w:rsidR="001B3AD9">
        <w:rPr>
          <w:rFonts w:eastAsia="Times New Roman" w:cs="Times New Roman"/>
          <w:lang w:val="fr-CA"/>
        </w:rPr>
        <w:t xml:space="preserve">Émissions observées par </w:t>
      </w:r>
      <w:r w:rsidRPr="00CD3C74">
        <w:rPr>
          <w:lang w:val="fr-CA"/>
        </w:rPr>
        <w:t xml:space="preserve">WINDII </w:t>
      </w:r>
      <w:r w:rsidR="001B3AD9">
        <w:rPr>
          <w:lang w:val="fr-CA"/>
        </w:rPr>
        <w:t>et caractéristiques du filtre correspondant</w:t>
      </w:r>
    </w:p>
    <w:tbl>
      <w:tblPr>
        <w:tblW w:w="0" w:type="auto"/>
        <w:tblInd w:w="-10" w:type="dxa"/>
        <w:tblLayout w:type="fixed"/>
        <w:tblLook w:val="0000" w:firstRow="0" w:lastRow="0" w:firstColumn="0" w:lastColumn="0" w:noHBand="0" w:noVBand="0"/>
      </w:tblPr>
      <w:tblGrid>
        <w:gridCol w:w="905"/>
        <w:gridCol w:w="2180"/>
        <w:gridCol w:w="2410"/>
        <w:gridCol w:w="1890"/>
        <w:gridCol w:w="2382"/>
      </w:tblGrid>
      <w:tr w:rsidR="00F33104" w:rsidRPr="00B41843" w:rsidTr="00DA5B53">
        <w:tc>
          <w:tcPr>
            <w:tcW w:w="905" w:type="dxa"/>
            <w:tcBorders>
              <w:top w:val="single" w:sz="4" w:space="0" w:color="000000"/>
              <w:left w:val="single" w:sz="4" w:space="0" w:color="000000"/>
              <w:bottom w:val="single" w:sz="4" w:space="0" w:color="000000"/>
            </w:tcBorders>
            <w:shd w:val="clear" w:color="auto" w:fill="auto"/>
          </w:tcPr>
          <w:p w:rsidR="00F33104" w:rsidRPr="00CD3C74" w:rsidRDefault="001B3AD9" w:rsidP="001B3AD9">
            <w:pPr>
              <w:rPr>
                <w:lang w:val="fr-CA"/>
              </w:rPr>
            </w:pPr>
            <w:r>
              <w:rPr>
                <w:color w:val="000000"/>
                <w:lang w:val="fr-CA"/>
              </w:rPr>
              <w:t>N</w:t>
            </w:r>
            <w:r w:rsidRPr="001B3AD9">
              <w:rPr>
                <w:color w:val="000000"/>
                <w:vertAlign w:val="superscript"/>
                <w:lang w:val="fr-CA"/>
              </w:rPr>
              <w:t>o</w:t>
            </w:r>
            <w:r>
              <w:rPr>
                <w:color w:val="000000"/>
                <w:lang w:val="fr-CA"/>
              </w:rPr>
              <w:t xml:space="preserve"> de filtre</w:t>
            </w:r>
          </w:p>
        </w:tc>
        <w:tc>
          <w:tcPr>
            <w:tcW w:w="2180" w:type="dxa"/>
            <w:tcBorders>
              <w:top w:val="single" w:sz="4" w:space="0" w:color="000000"/>
              <w:left w:val="single" w:sz="4" w:space="0" w:color="000000"/>
              <w:bottom w:val="single" w:sz="4" w:space="0" w:color="000000"/>
            </w:tcBorders>
            <w:shd w:val="clear" w:color="auto" w:fill="auto"/>
          </w:tcPr>
          <w:p w:rsidR="00F33104" w:rsidRPr="00CD3C74" w:rsidRDefault="001B3AD9" w:rsidP="001B3AD9">
            <w:pPr>
              <w:rPr>
                <w:lang w:val="fr-CA"/>
              </w:rPr>
            </w:pPr>
            <w:r>
              <w:rPr>
                <w:color w:val="000000"/>
                <w:lang w:val="fr-CA"/>
              </w:rPr>
              <w:t>É</w:t>
            </w:r>
            <w:r w:rsidR="00F33104" w:rsidRPr="00CD3C74">
              <w:rPr>
                <w:color w:val="000000"/>
                <w:lang w:val="fr-CA"/>
              </w:rPr>
              <w:t>mission</w:t>
            </w:r>
          </w:p>
        </w:tc>
        <w:tc>
          <w:tcPr>
            <w:tcW w:w="2410" w:type="dxa"/>
            <w:tcBorders>
              <w:top w:val="single" w:sz="4" w:space="0" w:color="000000"/>
              <w:left w:val="single" w:sz="4" w:space="0" w:color="000000"/>
              <w:bottom w:val="single" w:sz="4" w:space="0" w:color="000000"/>
            </w:tcBorders>
            <w:shd w:val="clear" w:color="auto" w:fill="auto"/>
          </w:tcPr>
          <w:p w:rsidR="00F33104" w:rsidRPr="00CD3C74" w:rsidRDefault="001B3AD9" w:rsidP="001B3AD9">
            <w:pPr>
              <w:rPr>
                <w:lang w:val="fr-CA"/>
              </w:rPr>
            </w:pPr>
            <w:r>
              <w:rPr>
                <w:color w:val="000000"/>
                <w:lang w:val="fr-CA"/>
              </w:rPr>
              <w:t>Longueur d’onde de raie</w:t>
            </w:r>
            <w:r w:rsidR="00F33104" w:rsidRPr="00CD3C74">
              <w:rPr>
                <w:color w:val="000000"/>
                <w:lang w:val="fr-CA"/>
              </w:rPr>
              <w:t xml:space="preserve"> (nm)</w:t>
            </w:r>
          </w:p>
        </w:tc>
        <w:tc>
          <w:tcPr>
            <w:tcW w:w="1890" w:type="dxa"/>
            <w:tcBorders>
              <w:top w:val="single" w:sz="4" w:space="0" w:color="000000"/>
              <w:left w:val="single" w:sz="4" w:space="0" w:color="000000"/>
              <w:bottom w:val="single" w:sz="4" w:space="0" w:color="000000"/>
            </w:tcBorders>
            <w:shd w:val="clear" w:color="auto" w:fill="auto"/>
          </w:tcPr>
          <w:p w:rsidR="00F33104" w:rsidRPr="00CD3C74" w:rsidRDefault="001B3AD9" w:rsidP="001B3AD9">
            <w:pPr>
              <w:rPr>
                <w:lang w:val="fr-CA"/>
              </w:rPr>
            </w:pPr>
            <w:r>
              <w:rPr>
                <w:color w:val="000000"/>
                <w:lang w:val="fr-CA"/>
              </w:rPr>
              <w:t>Longueur d’onde centrale</w:t>
            </w:r>
            <w:r w:rsidR="00F33104" w:rsidRPr="00CD3C74">
              <w:rPr>
                <w:color w:val="000000"/>
                <w:lang w:val="fr-CA"/>
              </w:rPr>
              <w:t xml:space="preserve"> (nm)</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F33104" w:rsidRPr="00CD3C74" w:rsidRDefault="00DA5B53">
            <w:pPr>
              <w:rPr>
                <w:lang w:val="fr-CA"/>
              </w:rPr>
            </w:pPr>
            <w:r>
              <w:rPr>
                <w:color w:val="000000"/>
                <w:lang w:val="fr-CA"/>
              </w:rPr>
              <w:t>Pleine largeur à mi-hauteur (</w:t>
            </w:r>
            <w:r w:rsidR="00F33104" w:rsidRPr="00CD3C74">
              <w:rPr>
                <w:color w:val="000000"/>
                <w:lang w:val="fr-CA"/>
              </w:rPr>
              <w:t>FWHM (nm)</w:t>
            </w:r>
          </w:p>
        </w:tc>
      </w:tr>
      <w:tr w:rsidR="00F33104" w:rsidRPr="00CD3C74" w:rsidTr="00DA5B53">
        <w:tc>
          <w:tcPr>
            <w:tcW w:w="905" w:type="dxa"/>
            <w:tcBorders>
              <w:top w:val="single" w:sz="4" w:space="0" w:color="000000"/>
              <w:left w:val="single" w:sz="4" w:space="0" w:color="000000"/>
              <w:bottom w:val="single" w:sz="4" w:space="0" w:color="000000"/>
            </w:tcBorders>
            <w:shd w:val="clear" w:color="auto" w:fill="auto"/>
          </w:tcPr>
          <w:p w:rsidR="00F33104" w:rsidRPr="00CD3C74" w:rsidRDefault="00F33104">
            <w:pPr>
              <w:rPr>
                <w:lang w:val="fr-CA"/>
              </w:rPr>
            </w:pPr>
            <w:r w:rsidRPr="00CD3C74">
              <w:rPr>
                <w:color w:val="000000"/>
                <w:lang w:val="fr-CA"/>
              </w:rPr>
              <w:t>1</w:t>
            </w:r>
          </w:p>
          <w:p w:rsidR="00F33104" w:rsidRPr="00CD3C74" w:rsidRDefault="00F33104">
            <w:pPr>
              <w:rPr>
                <w:lang w:val="fr-CA"/>
              </w:rPr>
            </w:pPr>
            <w:r w:rsidRPr="00CD3C74">
              <w:rPr>
                <w:color w:val="000000"/>
                <w:lang w:val="fr-CA"/>
              </w:rPr>
              <w:t>2</w:t>
            </w:r>
          </w:p>
          <w:p w:rsidR="00F33104" w:rsidRPr="00CD3C74" w:rsidRDefault="00F33104">
            <w:pPr>
              <w:rPr>
                <w:lang w:val="fr-CA"/>
              </w:rPr>
            </w:pPr>
            <w:r w:rsidRPr="00CD3C74">
              <w:rPr>
                <w:color w:val="000000"/>
                <w:lang w:val="fr-CA"/>
              </w:rPr>
              <w:t>3</w:t>
            </w:r>
          </w:p>
          <w:p w:rsidR="00F33104" w:rsidRPr="00CD3C74" w:rsidRDefault="00F33104">
            <w:pPr>
              <w:rPr>
                <w:lang w:val="fr-CA"/>
              </w:rPr>
            </w:pPr>
            <w:r w:rsidRPr="00CD3C74">
              <w:rPr>
                <w:color w:val="000000"/>
                <w:lang w:val="fr-CA"/>
              </w:rPr>
              <w:t>4</w:t>
            </w:r>
          </w:p>
          <w:p w:rsidR="00F33104" w:rsidRPr="00CD3C74" w:rsidRDefault="00F33104">
            <w:pPr>
              <w:rPr>
                <w:lang w:val="fr-CA"/>
              </w:rPr>
            </w:pPr>
            <w:r w:rsidRPr="00CD3C74">
              <w:rPr>
                <w:color w:val="000000"/>
                <w:lang w:val="fr-CA"/>
              </w:rPr>
              <w:t>4</w:t>
            </w:r>
          </w:p>
          <w:p w:rsidR="00F33104" w:rsidRPr="00CD3C74" w:rsidRDefault="00F33104">
            <w:pPr>
              <w:rPr>
                <w:lang w:val="fr-CA"/>
              </w:rPr>
            </w:pPr>
            <w:r w:rsidRPr="00CD3C74">
              <w:rPr>
                <w:color w:val="000000"/>
                <w:lang w:val="fr-CA"/>
              </w:rPr>
              <w:t>5A</w:t>
            </w:r>
          </w:p>
          <w:p w:rsidR="00F33104" w:rsidRPr="00CD3C74" w:rsidRDefault="00F33104">
            <w:pPr>
              <w:rPr>
                <w:lang w:val="fr-CA"/>
              </w:rPr>
            </w:pPr>
            <w:r w:rsidRPr="00CD3C74">
              <w:rPr>
                <w:color w:val="000000"/>
                <w:lang w:val="fr-CA"/>
              </w:rPr>
              <w:t>5B</w:t>
            </w:r>
          </w:p>
          <w:p w:rsidR="00F33104" w:rsidRPr="00CD3C74" w:rsidRDefault="00F33104">
            <w:pPr>
              <w:rPr>
                <w:lang w:val="fr-CA"/>
              </w:rPr>
            </w:pPr>
            <w:r w:rsidRPr="00CD3C74">
              <w:rPr>
                <w:color w:val="000000"/>
                <w:lang w:val="fr-CA"/>
              </w:rPr>
              <w:t>6</w:t>
            </w:r>
          </w:p>
          <w:p w:rsidR="00F33104" w:rsidRPr="00CD3C74" w:rsidRDefault="00F33104">
            <w:pPr>
              <w:rPr>
                <w:lang w:val="fr-CA"/>
              </w:rPr>
            </w:pPr>
            <w:r w:rsidRPr="00CD3C74">
              <w:rPr>
                <w:color w:val="000000"/>
                <w:lang w:val="fr-CA"/>
              </w:rPr>
              <w:t>7</w:t>
            </w:r>
          </w:p>
        </w:tc>
        <w:tc>
          <w:tcPr>
            <w:tcW w:w="2180" w:type="dxa"/>
            <w:tcBorders>
              <w:top w:val="single" w:sz="4" w:space="0" w:color="000000"/>
              <w:left w:val="single" w:sz="4" w:space="0" w:color="000000"/>
              <w:bottom w:val="single" w:sz="4" w:space="0" w:color="000000"/>
            </w:tcBorders>
            <w:shd w:val="clear" w:color="auto" w:fill="auto"/>
          </w:tcPr>
          <w:p w:rsidR="00F33104" w:rsidRPr="00CD3C74" w:rsidRDefault="00BC1543">
            <w:pPr>
              <w:rPr>
                <w:lang w:val="fr-CA"/>
              </w:rPr>
            </w:pPr>
            <w:r>
              <w:rPr>
                <w:color w:val="000000"/>
                <w:lang w:val="fr-CA"/>
              </w:rPr>
              <w:t>Bruit de fond</w:t>
            </w:r>
            <w:r w:rsidR="001B3AD9">
              <w:rPr>
                <w:color w:val="000000"/>
                <w:lang w:val="fr-CA"/>
              </w:rPr>
              <w:t xml:space="preserve"> – arrière-plan</w:t>
            </w:r>
          </w:p>
          <w:p w:rsidR="00F33104" w:rsidRPr="00CD3C74" w:rsidRDefault="00F33104">
            <w:pPr>
              <w:rPr>
                <w:lang w:val="fr-CA"/>
              </w:rPr>
            </w:pPr>
            <w:r w:rsidRPr="00CD3C74">
              <w:rPr>
                <w:color w:val="000000"/>
                <w:lang w:val="fr-CA"/>
              </w:rPr>
              <w:t>O(</w:t>
            </w:r>
            <w:r w:rsidRPr="00CD3C74">
              <w:rPr>
                <w:color w:val="000000"/>
                <w:vertAlign w:val="superscript"/>
                <w:lang w:val="fr-CA"/>
              </w:rPr>
              <w:t>1</w:t>
            </w:r>
            <w:r w:rsidRPr="00CD3C74">
              <w:rPr>
                <w:color w:val="000000"/>
                <w:lang w:val="fr-CA"/>
              </w:rPr>
              <w:t>S)</w:t>
            </w:r>
          </w:p>
          <w:p w:rsidR="00F33104" w:rsidRPr="00B41843" w:rsidRDefault="00F33104">
            <w:r w:rsidRPr="00B41843">
              <w:rPr>
                <w:color w:val="000000"/>
              </w:rPr>
              <w:t>O(</w:t>
            </w:r>
            <w:r w:rsidRPr="00B41843">
              <w:rPr>
                <w:color w:val="000000"/>
                <w:vertAlign w:val="superscript"/>
              </w:rPr>
              <w:t>1</w:t>
            </w:r>
            <w:r w:rsidRPr="00B41843">
              <w:rPr>
                <w:color w:val="000000"/>
              </w:rPr>
              <w:t>D)</w:t>
            </w:r>
          </w:p>
          <w:p w:rsidR="00F33104" w:rsidRPr="00B41843" w:rsidRDefault="00F33104">
            <w:r w:rsidRPr="00B41843">
              <w:rPr>
                <w:color w:val="000000"/>
              </w:rPr>
              <w:t>O</w:t>
            </w:r>
            <w:r w:rsidRPr="00B41843">
              <w:rPr>
                <w:color w:val="000000"/>
                <w:vertAlign w:val="superscript"/>
              </w:rPr>
              <w:t>+</w:t>
            </w:r>
            <w:r w:rsidRPr="00B41843">
              <w:rPr>
                <w:color w:val="000000"/>
              </w:rPr>
              <w:t>(</w:t>
            </w:r>
            <w:r w:rsidRPr="00B41843">
              <w:rPr>
                <w:color w:val="000000"/>
                <w:vertAlign w:val="superscript"/>
              </w:rPr>
              <w:t>2</w:t>
            </w:r>
            <w:r w:rsidRPr="00B41843">
              <w:rPr>
                <w:color w:val="000000"/>
              </w:rPr>
              <w:t>P)</w:t>
            </w:r>
          </w:p>
          <w:p w:rsidR="00F33104" w:rsidRPr="00B41843" w:rsidRDefault="00F33104">
            <w:r w:rsidRPr="00B41843">
              <w:rPr>
                <w:color w:val="000000"/>
              </w:rPr>
              <w:t>OH P</w:t>
            </w:r>
            <w:r w:rsidRPr="00B41843">
              <w:rPr>
                <w:color w:val="000000"/>
                <w:vertAlign w:val="subscript"/>
              </w:rPr>
              <w:t>1</w:t>
            </w:r>
            <w:r w:rsidRPr="00B41843">
              <w:rPr>
                <w:color w:val="000000"/>
              </w:rPr>
              <w:t>(2)</w:t>
            </w:r>
          </w:p>
          <w:p w:rsidR="00F33104" w:rsidRPr="00B41843" w:rsidRDefault="00AC43A7">
            <w:proofErr w:type="spellStart"/>
            <w:r w:rsidRPr="00B41843">
              <w:rPr>
                <w:color w:val="000000"/>
              </w:rPr>
              <w:t>Bande</w:t>
            </w:r>
            <w:proofErr w:type="spellEnd"/>
            <w:r w:rsidRPr="00B41843">
              <w:rPr>
                <w:color w:val="000000"/>
              </w:rPr>
              <w:t xml:space="preserve"> O</w:t>
            </w:r>
            <w:r w:rsidR="00F33104" w:rsidRPr="00B41843">
              <w:rPr>
                <w:color w:val="000000"/>
              </w:rPr>
              <w:t>H</w:t>
            </w:r>
          </w:p>
          <w:p w:rsidR="00F33104" w:rsidRPr="00CD3C74" w:rsidRDefault="00AC43A7">
            <w:pPr>
              <w:rPr>
                <w:lang w:val="fr-CA"/>
              </w:rPr>
            </w:pPr>
            <w:r>
              <w:rPr>
                <w:color w:val="000000"/>
                <w:lang w:val="fr-CA"/>
              </w:rPr>
              <w:t>Bruit de fond O</w:t>
            </w:r>
            <w:r w:rsidR="00F33104" w:rsidRPr="00CD3C74">
              <w:rPr>
                <w:color w:val="000000"/>
                <w:lang w:val="fr-CA"/>
              </w:rPr>
              <w:t>H</w:t>
            </w:r>
          </w:p>
          <w:p w:rsidR="00F33104" w:rsidRPr="00CD3C74" w:rsidRDefault="00F33104">
            <w:pPr>
              <w:rPr>
                <w:lang w:val="fr-CA"/>
              </w:rPr>
            </w:pPr>
            <w:r w:rsidRPr="00CD3C74">
              <w:rPr>
                <w:color w:val="000000"/>
                <w:lang w:val="fr-CA"/>
              </w:rPr>
              <w:t>OH P</w:t>
            </w:r>
            <w:r w:rsidRPr="00CD3C74">
              <w:rPr>
                <w:color w:val="000000"/>
                <w:vertAlign w:val="subscript"/>
                <w:lang w:val="fr-CA"/>
              </w:rPr>
              <w:t>1</w:t>
            </w:r>
            <w:r w:rsidRPr="00CD3C74">
              <w:rPr>
                <w:color w:val="000000"/>
                <w:lang w:val="fr-CA"/>
              </w:rPr>
              <w:t>(3)</w:t>
            </w:r>
          </w:p>
          <w:p w:rsidR="00F33104" w:rsidRPr="00CD3C74" w:rsidRDefault="00F33104">
            <w:pPr>
              <w:rPr>
                <w:lang w:val="fr-CA"/>
              </w:rPr>
            </w:pPr>
            <w:r w:rsidRPr="00CD3C74">
              <w:rPr>
                <w:color w:val="000000"/>
                <w:lang w:val="fr-CA"/>
              </w:rPr>
              <w:t>O</w:t>
            </w:r>
            <w:r w:rsidRPr="00CD3C74">
              <w:rPr>
                <w:color w:val="000000"/>
                <w:vertAlign w:val="subscript"/>
                <w:lang w:val="fr-CA"/>
              </w:rPr>
              <w:t>2</w:t>
            </w:r>
            <w:r w:rsidRPr="00CD3C74">
              <w:rPr>
                <w:color w:val="000000"/>
                <w:lang w:val="fr-CA"/>
              </w:rPr>
              <w:t xml:space="preserve"> </w:t>
            </w:r>
            <w:r w:rsidRPr="00CD3C74">
              <w:rPr>
                <w:color w:val="000000"/>
                <w:vertAlign w:val="superscript"/>
                <w:lang w:val="fr-CA"/>
              </w:rPr>
              <w:t>P</w:t>
            </w:r>
            <w:r w:rsidRPr="00CD3C74">
              <w:rPr>
                <w:color w:val="000000"/>
                <w:lang w:val="fr-CA"/>
              </w:rPr>
              <w:t xml:space="preserve">P(7), </w:t>
            </w:r>
            <w:r w:rsidRPr="00CD3C74">
              <w:rPr>
                <w:color w:val="000000"/>
                <w:vertAlign w:val="superscript"/>
                <w:lang w:val="fr-CA"/>
              </w:rPr>
              <w:t>P</w:t>
            </w:r>
            <w:r w:rsidRPr="00CD3C74">
              <w:rPr>
                <w:color w:val="000000"/>
                <w:lang w:val="fr-CA"/>
              </w:rPr>
              <w:t>Q(7)</w:t>
            </w:r>
          </w:p>
        </w:tc>
        <w:tc>
          <w:tcPr>
            <w:tcW w:w="2410" w:type="dxa"/>
            <w:tcBorders>
              <w:top w:val="single" w:sz="4" w:space="0" w:color="000000"/>
              <w:left w:val="single" w:sz="4" w:space="0" w:color="000000"/>
              <w:bottom w:val="single" w:sz="4" w:space="0" w:color="000000"/>
            </w:tcBorders>
            <w:shd w:val="clear" w:color="auto" w:fill="auto"/>
          </w:tcPr>
          <w:p w:rsidR="00F33104" w:rsidRPr="00CD3C74" w:rsidRDefault="00F33104">
            <w:pPr>
              <w:snapToGrid w:val="0"/>
              <w:rPr>
                <w:color w:val="000000"/>
                <w:lang w:val="fr-CA"/>
              </w:rPr>
            </w:pPr>
          </w:p>
          <w:p w:rsidR="00F33104" w:rsidRPr="00CD3C74" w:rsidRDefault="00F33104" w:rsidP="00DA5B53">
            <w:pPr>
              <w:jc w:val="center"/>
              <w:rPr>
                <w:lang w:val="fr-CA"/>
              </w:rPr>
            </w:pPr>
            <w:r w:rsidRPr="00CD3C74">
              <w:rPr>
                <w:color w:val="000000"/>
                <w:lang w:val="fr-CA"/>
              </w:rPr>
              <w:t>557</w:t>
            </w:r>
            <w:r w:rsidR="00DA5B53">
              <w:rPr>
                <w:color w:val="000000"/>
                <w:lang w:val="fr-CA"/>
              </w:rPr>
              <w:t>,</w:t>
            </w:r>
            <w:r w:rsidRPr="00CD3C74">
              <w:rPr>
                <w:color w:val="000000"/>
                <w:lang w:val="fr-CA"/>
              </w:rPr>
              <w:t>73</w:t>
            </w:r>
          </w:p>
          <w:p w:rsidR="00F33104" w:rsidRPr="00CD3C74" w:rsidRDefault="00F33104" w:rsidP="00DA5B53">
            <w:pPr>
              <w:jc w:val="center"/>
              <w:rPr>
                <w:lang w:val="fr-CA"/>
              </w:rPr>
            </w:pPr>
            <w:r w:rsidRPr="00CD3C74">
              <w:rPr>
                <w:color w:val="000000"/>
                <w:lang w:val="fr-CA"/>
              </w:rPr>
              <w:t>630</w:t>
            </w:r>
            <w:r w:rsidR="00DA5B53">
              <w:rPr>
                <w:color w:val="000000"/>
                <w:lang w:val="fr-CA"/>
              </w:rPr>
              <w:t>,</w:t>
            </w:r>
            <w:r w:rsidRPr="00CD3C74">
              <w:rPr>
                <w:color w:val="000000"/>
                <w:lang w:val="fr-CA"/>
              </w:rPr>
              <w:t>03</w:t>
            </w:r>
          </w:p>
          <w:p w:rsidR="00F33104" w:rsidRPr="00CD3C74" w:rsidRDefault="00F33104" w:rsidP="00DA5B53">
            <w:pPr>
              <w:jc w:val="center"/>
              <w:rPr>
                <w:lang w:val="fr-CA"/>
              </w:rPr>
            </w:pPr>
            <w:r w:rsidRPr="00CD3C74">
              <w:rPr>
                <w:color w:val="000000"/>
                <w:lang w:val="fr-CA"/>
              </w:rPr>
              <w:t>732</w:t>
            </w:r>
            <w:r w:rsidR="00DA5B53">
              <w:rPr>
                <w:color w:val="000000"/>
                <w:lang w:val="fr-CA"/>
              </w:rPr>
              <w:t>,</w:t>
            </w:r>
            <w:r w:rsidRPr="00CD3C74">
              <w:rPr>
                <w:color w:val="000000"/>
                <w:lang w:val="fr-CA"/>
              </w:rPr>
              <w:t>0/733</w:t>
            </w:r>
            <w:r w:rsidR="00DA5B53">
              <w:rPr>
                <w:color w:val="000000"/>
                <w:lang w:val="fr-CA"/>
              </w:rPr>
              <w:t>,</w:t>
            </w:r>
            <w:r w:rsidRPr="00CD3C74">
              <w:rPr>
                <w:color w:val="000000"/>
                <w:lang w:val="fr-CA"/>
              </w:rPr>
              <w:t>0</w:t>
            </w:r>
          </w:p>
          <w:p w:rsidR="00F33104" w:rsidRPr="00CD3C74" w:rsidRDefault="00F33104" w:rsidP="00DA5B53">
            <w:pPr>
              <w:jc w:val="center"/>
              <w:rPr>
                <w:lang w:val="fr-CA"/>
              </w:rPr>
            </w:pPr>
            <w:r w:rsidRPr="00CD3C74">
              <w:rPr>
                <w:color w:val="000000"/>
                <w:lang w:val="fr-CA"/>
              </w:rPr>
              <w:t>731</w:t>
            </w:r>
            <w:r w:rsidR="00DA5B53">
              <w:rPr>
                <w:color w:val="000000"/>
                <w:lang w:val="fr-CA"/>
              </w:rPr>
              <w:t>,</w:t>
            </w:r>
            <w:r w:rsidRPr="00CD3C74">
              <w:rPr>
                <w:color w:val="000000"/>
                <w:lang w:val="fr-CA"/>
              </w:rPr>
              <w:t>63</w:t>
            </w:r>
          </w:p>
          <w:p w:rsidR="00F33104" w:rsidRPr="00CD3C74" w:rsidRDefault="00F33104" w:rsidP="00DA5B53">
            <w:pPr>
              <w:jc w:val="center"/>
              <w:rPr>
                <w:color w:val="000000"/>
                <w:lang w:val="fr-CA"/>
              </w:rPr>
            </w:pPr>
          </w:p>
          <w:p w:rsidR="00F33104" w:rsidRPr="00CD3C74" w:rsidRDefault="00F33104" w:rsidP="00DA5B53">
            <w:pPr>
              <w:jc w:val="center"/>
              <w:rPr>
                <w:color w:val="000000"/>
                <w:lang w:val="fr-CA"/>
              </w:rPr>
            </w:pPr>
          </w:p>
          <w:p w:rsidR="00F33104" w:rsidRPr="00CD3C74" w:rsidRDefault="00F33104" w:rsidP="00DA5B53">
            <w:pPr>
              <w:jc w:val="center"/>
              <w:rPr>
                <w:lang w:val="fr-CA"/>
              </w:rPr>
            </w:pPr>
            <w:r w:rsidRPr="00CD3C74">
              <w:rPr>
                <w:color w:val="000000"/>
                <w:lang w:val="fr-CA"/>
              </w:rPr>
              <w:t>734</w:t>
            </w:r>
            <w:r w:rsidR="00DA5B53">
              <w:rPr>
                <w:color w:val="000000"/>
                <w:lang w:val="fr-CA"/>
              </w:rPr>
              <w:t>,</w:t>
            </w:r>
            <w:r w:rsidRPr="00CD3C74">
              <w:rPr>
                <w:color w:val="000000"/>
                <w:lang w:val="fr-CA"/>
              </w:rPr>
              <w:t>09</w:t>
            </w:r>
          </w:p>
          <w:p w:rsidR="00F33104" w:rsidRPr="00CD3C74" w:rsidRDefault="00F33104" w:rsidP="00DA5B53">
            <w:pPr>
              <w:jc w:val="center"/>
              <w:rPr>
                <w:lang w:val="fr-CA"/>
              </w:rPr>
            </w:pPr>
            <w:r w:rsidRPr="00CD3C74">
              <w:rPr>
                <w:color w:val="000000"/>
                <w:lang w:val="fr-CA"/>
              </w:rPr>
              <w:t>763</w:t>
            </w:r>
            <w:r w:rsidR="00DA5B53">
              <w:rPr>
                <w:color w:val="000000"/>
                <w:lang w:val="fr-CA"/>
              </w:rPr>
              <w:t>,</w:t>
            </w:r>
            <w:r w:rsidRPr="00CD3C74">
              <w:rPr>
                <w:color w:val="000000"/>
                <w:lang w:val="fr-CA"/>
              </w:rPr>
              <w:t>22, 763</w:t>
            </w:r>
            <w:r w:rsidR="00DA5B53">
              <w:rPr>
                <w:color w:val="000000"/>
                <w:lang w:val="fr-CA"/>
              </w:rPr>
              <w:t>,</w:t>
            </w:r>
          </w:p>
        </w:tc>
        <w:tc>
          <w:tcPr>
            <w:tcW w:w="1890" w:type="dxa"/>
            <w:tcBorders>
              <w:top w:val="single" w:sz="4" w:space="0" w:color="000000"/>
              <w:left w:val="single" w:sz="4" w:space="0" w:color="000000"/>
              <w:bottom w:val="single" w:sz="4" w:space="0" w:color="000000"/>
            </w:tcBorders>
            <w:shd w:val="clear" w:color="auto" w:fill="auto"/>
          </w:tcPr>
          <w:p w:rsidR="00F33104" w:rsidRPr="00CD3C74" w:rsidRDefault="00F33104">
            <w:pPr>
              <w:jc w:val="center"/>
              <w:rPr>
                <w:lang w:val="fr-CA"/>
              </w:rPr>
            </w:pPr>
            <w:r w:rsidRPr="00CD3C74">
              <w:rPr>
                <w:color w:val="000000"/>
                <w:lang w:val="fr-CA"/>
              </w:rPr>
              <w:t>553</w:t>
            </w:r>
            <w:r w:rsidR="00DA5B53">
              <w:rPr>
                <w:color w:val="000000"/>
                <w:lang w:val="fr-CA"/>
              </w:rPr>
              <w:t>,</w:t>
            </w:r>
            <w:r w:rsidRPr="00CD3C74">
              <w:rPr>
                <w:color w:val="000000"/>
                <w:lang w:val="fr-CA"/>
              </w:rPr>
              <w:t>1</w:t>
            </w:r>
          </w:p>
          <w:p w:rsidR="00F33104" w:rsidRPr="00CD3C74" w:rsidRDefault="00F33104">
            <w:pPr>
              <w:jc w:val="center"/>
              <w:rPr>
                <w:lang w:val="fr-CA"/>
              </w:rPr>
            </w:pPr>
            <w:r w:rsidRPr="00CD3C74">
              <w:rPr>
                <w:color w:val="000000"/>
                <w:lang w:val="fr-CA"/>
              </w:rPr>
              <w:t>558</w:t>
            </w:r>
            <w:r w:rsidR="00DA5B53">
              <w:rPr>
                <w:color w:val="000000"/>
                <w:lang w:val="fr-CA"/>
              </w:rPr>
              <w:t>,</w:t>
            </w:r>
            <w:r w:rsidRPr="00CD3C74">
              <w:rPr>
                <w:color w:val="000000"/>
                <w:lang w:val="fr-CA"/>
              </w:rPr>
              <w:t>4</w:t>
            </w:r>
          </w:p>
          <w:p w:rsidR="00F33104" w:rsidRPr="00CD3C74" w:rsidRDefault="00F33104">
            <w:pPr>
              <w:jc w:val="center"/>
              <w:rPr>
                <w:lang w:val="fr-CA"/>
              </w:rPr>
            </w:pPr>
            <w:r w:rsidRPr="00CD3C74">
              <w:rPr>
                <w:color w:val="000000"/>
                <w:lang w:val="fr-CA"/>
              </w:rPr>
              <w:t>630</w:t>
            </w:r>
            <w:r w:rsidR="00DA5B53">
              <w:rPr>
                <w:color w:val="000000"/>
                <w:lang w:val="fr-CA"/>
              </w:rPr>
              <w:t>,</w:t>
            </w:r>
            <w:r w:rsidRPr="00CD3C74">
              <w:rPr>
                <w:color w:val="000000"/>
                <w:lang w:val="fr-CA"/>
              </w:rPr>
              <w:t>7</w:t>
            </w:r>
          </w:p>
          <w:p w:rsidR="00F33104" w:rsidRPr="00CD3C74" w:rsidRDefault="00F33104">
            <w:pPr>
              <w:jc w:val="center"/>
              <w:rPr>
                <w:lang w:val="fr-CA"/>
              </w:rPr>
            </w:pPr>
            <w:r w:rsidRPr="00CD3C74">
              <w:rPr>
                <w:color w:val="000000"/>
                <w:lang w:val="fr-CA"/>
              </w:rPr>
              <w:t>732</w:t>
            </w:r>
            <w:r w:rsidR="00DA5B53">
              <w:rPr>
                <w:color w:val="000000"/>
                <w:lang w:val="fr-CA"/>
              </w:rPr>
              <w:t>,</w:t>
            </w:r>
            <w:r w:rsidRPr="00CD3C74">
              <w:rPr>
                <w:color w:val="000000"/>
                <w:lang w:val="fr-CA"/>
              </w:rPr>
              <w:t>9</w:t>
            </w:r>
          </w:p>
          <w:p w:rsidR="00F33104" w:rsidRPr="00CD3C74" w:rsidRDefault="00F33104">
            <w:pPr>
              <w:jc w:val="center"/>
              <w:rPr>
                <w:color w:val="000000"/>
                <w:lang w:val="fr-CA"/>
              </w:rPr>
            </w:pPr>
          </w:p>
          <w:p w:rsidR="00F33104" w:rsidRPr="00CD3C74" w:rsidRDefault="00F33104">
            <w:pPr>
              <w:jc w:val="center"/>
              <w:rPr>
                <w:lang w:val="fr-CA"/>
              </w:rPr>
            </w:pPr>
            <w:r w:rsidRPr="00CD3C74">
              <w:rPr>
                <w:color w:val="000000"/>
                <w:lang w:val="fr-CA"/>
              </w:rPr>
              <w:t>728</w:t>
            </w:r>
            <w:r w:rsidR="00DA5B53">
              <w:rPr>
                <w:color w:val="000000"/>
                <w:lang w:val="fr-CA"/>
              </w:rPr>
              <w:t>,</w:t>
            </w:r>
            <w:r w:rsidRPr="00CD3C74">
              <w:rPr>
                <w:color w:val="000000"/>
                <w:lang w:val="fr-CA"/>
              </w:rPr>
              <w:t>8</w:t>
            </w:r>
          </w:p>
          <w:p w:rsidR="00F33104" w:rsidRPr="00CD3C74" w:rsidRDefault="00F33104">
            <w:pPr>
              <w:jc w:val="center"/>
              <w:rPr>
                <w:lang w:val="fr-CA"/>
              </w:rPr>
            </w:pPr>
            <w:r w:rsidRPr="00CD3C74">
              <w:rPr>
                <w:color w:val="000000"/>
                <w:lang w:val="fr-CA"/>
              </w:rPr>
              <w:t>714</w:t>
            </w:r>
            <w:r w:rsidR="00DA5B53">
              <w:rPr>
                <w:color w:val="000000"/>
                <w:lang w:val="fr-CA"/>
              </w:rPr>
              <w:t>,</w:t>
            </w:r>
            <w:r w:rsidRPr="00CD3C74">
              <w:rPr>
                <w:color w:val="000000"/>
                <w:lang w:val="fr-CA"/>
              </w:rPr>
              <w:t>8</w:t>
            </w:r>
          </w:p>
          <w:p w:rsidR="00F33104" w:rsidRPr="00CD3C74" w:rsidRDefault="00F33104">
            <w:pPr>
              <w:jc w:val="center"/>
              <w:rPr>
                <w:lang w:val="fr-CA"/>
              </w:rPr>
            </w:pPr>
            <w:r w:rsidRPr="00CD3C74">
              <w:rPr>
                <w:color w:val="000000"/>
                <w:lang w:val="fr-CA"/>
              </w:rPr>
              <w:t>734</w:t>
            </w:r>
            <w:r w:rsidR="00DA5B53">
              <w:rPr>
                <w:color w:val="000000"/>
                <w:lang w:val="fr-CA"/>
              </w:rPr>
              <w:t>,</w:t>
            </w:r>
            <w:r w:rsidRPr="00CD3C74">
              <w:rPr>
                <w:color w:val="000000"/>
                <w:lang w:val="fr-CA"/>
              </w:rPr>
              <w:t>6</w:t>
            </w:r>
          </w:p>
          <w:p w:rsidR="00F33104" w:rsidRPr="00CD3C74" w:rsidRDefault="00F33104">
            <w:pPr>
              <w:jc w:val="center"/>
              <w:rPr>
                <w:lang w:val="fr-CA"/>
              </w:rPr>
            </w:pPr>
            <w:r w:rsidRPr="00CD3C74">
              <w:rPr>
                <w:color w:val="000000"/>
                <w:lang w:val="fr-CA"/>
              </w:rPr>
              <w:t>763</w:t>
            </w:r>
            <w:r w:rsidR="00DA5B53">
              <w:rPr>
                <w:color w:val="000000"/>
                <w:lang w:val="fr-CA"/>
              </w:rPr>
              <w:t>,</w:t>
            </w:r>
            <w:r w:rsidRPr="00CD3C74">
              <w:rPr>
                <w:color w:val="000000"/>
                <w:lang w:val="fr-CA"/>
              </w:rPr>
              <w:t>2</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F33104" w:rsidRPr="00CD3C74" w:rsidRDefault="00F33104" w:rsidP="00DA5B53">
            <w:pPr>
              <w:jc w:val="center"/>
              <w:rPr>
                <w:lang w:val="fr-CA"/>
              </w:rPr>
            </w:pPr>
            <w:r w:rsidRPr="00CD3C74">
              <w:rPr>
                <w:color w:val="000000"/>
                <w:lang w:val="fr-CA"/>
              </w:rPr>
              <w:t>1</w:t>
            </w:r>
            <w:r w:rsidR="00DA5B53">
              <w:rPr>
                <w:color w:val="000000"/>
                <w:lang w:val="fr-CA"/>
              </w:rPr>
              <w:t>,</w:t>
            </w:r>
            <w:r w:rsidRPr="00CD3C74">
              <w:rPr>
                <w:color w:val="000000"/>
                <w:lang w:val="fr-CA"/>
              </w:rPr>
              <w:t>6</w:t>
            </w:r>
          </w:p>
          <w:p w:rsidR="00F33104" w:rsidRPr="00CD3C74" w:rsidRDefault="00F33104" w:rsidP="00DA5B53">
            <w:pPr>
              <w:jc w:val="center"/>
              <w:rPr>
                <w:lang w:val="fr-CA"/>
              </w:rPr>
            </w:pPr>
            <w:r w:rsidRPr="00CD3C74">
              <w:rPr>
                <w:color w:val="000000"/>
                <w:lang w:val="fr-CA"/>
              </w:rPr>
              <w:t>1</w:t>
            </w:r>
            <w:r w:rsidR="00DA5B53">
              <w:rPr>
                <w:color w:val="000000"/>
                <w:lang w:val="fr-CA"/>
              </w:rPr>
              <w:t>,</w:t>
            </w:r>
            <w:r w:rsidRPr="00CD3C74">
              <w:rPr>
                <w:color w:val="000000"/>
                <w:lang w:val="fr-CA"/>
              </w:rPr>
              <w:t>6</w:t>
            </w:r>
          </w:p>
          <w:p w:rsidR="00F33104" w:rsidRPr="00CD3C74" w:rsidRDefault="00F33104" w:rsidP="00DA5B53">
            <w:pPr>
              <w:jc w:val="center"/>
              <w:rPr>
                <w:lang w:val="fr-CA"/>
              </w:rPr>
            </w:pPr>
            <w:r w:rsidRPr="00CD3C74">
              <w:rPr>
                <w:color w:val="000000"/>
                <w:lang w:val="fr-CA"/>
              </w:rPr>
              <w:t>2</w:t>
            </w:r>
            <w:r w:rsidR="00DA5B53">
              <w:rPr>
                <w:color w:val="000000"/>
                <w:lang w:val="fr-CA"/>
              </w:rPr>
              <w:t>,</w:t>
            </w:r>
            <w:r w:rsidRPr="00CD3C74">
              <w:rPr>
                <w:color w:val="000000"/>
                <w:lang w:val="fr-CA"/>
              </w:rPr>
              <w:t>7</w:t>
            </w:r>
          </w:p>
          <w:p w:rsidR="00F33104" w:rsidRPr="00CD3C74" w:rsidRDefault="00F33104" w:rsidP="00DA5B53">
            <w:pPr>
              <w:jc w:val="center"/>
              <w:rPr>
                <w:lang w:val="fr-CA"/>
              </w:rPr>
            </w:pPr>
            <w:r w:rsidRPr="00CD3C74">
              <w:rPr>
                <w:color w:val="000000"/>
                <w:lang w:val="fr-CA"/>
              </w:rPr>
              <w:t>1</w:t>
            </w:r>
            <w:r w:rsidR="00DA5B53">
              <w:rPr>
                <w:color w:val="000000"/>
                <w:lang w:val="fr-CA"/>
              </w:rPr>
              <w:t>,</w:t>
            </w:r>
            <w:r w:rsidRPr="00CD3C74">
              <w:rPr>
                <w:color w:val="000000"/>
                <w:lang w:val="fr-CA"/>
              </w:rPr>
              <w:t>4</w:t>
            </w:r>
          </w:p>
          <w:p w:rsidR="00F33104" w:rsidRPr="00CD3C74" w:rsidRDefault="00F33104" w:rsidP="00DA5B53">
            <w:pPr>
              <w:jc w:val="center"/>
              <w:rPr>
                <w:color w:val="000000"/>
                <w:lang w:val="fr-CA"/>
              </w:rPr>
            </w:pPr>
          </w:p>
          <w:p w:rsidR="00F33104" w:rsidRPr="00CD3C74" w:rsidRDefault="00F33104" w:rsidP="00DA5B53">
            <w:pPr>
              <w:jc w:val="center"/>
              <w:rPr>
                <w:lang w:val="fr-CA"/>
              </w:rPr>
            </w:pPr>
            <w:r w:rsidRPr="00CD3C74">
              <w:rPr>
                <w:color w:val="000000"/>
                <w:lang w:val="fr-CA"/>
              </w:rPr>
              <w:t>16</w:t>
            </w:r>
            <w:r w:rsidR="00DA5B53">
              <w:rPr>
                <w:color w:val="000000"/>
                <w:lang w:val="fr-CA"/>
              </w:rPr>
              <w:t>,</w:t>
            </w:r>
            <w:r w:rsidRPr="00CD3C74">
              <w:rPr>
                <w:color w:val="000000"/>
                <w:lang w:val="fr-CA"/>
              </w:rPr>
              <w:t>3</w:t>
            </w:r>
          </w:p>
          <w:p w:rsidR="00F33104" w:rsidRPr="00CD3C74" w:rsidRDefault="00F33104" w:rsidP="00DA5B53">
            <w:pPr>
              <w:jc w:val="center"/>
              <w:rPr>
                <w:lang w:val="fr-CA"/>
              </w:rPr>
            </w:pPr>
            <w:r w:rsidRPr="00CD3C74">
              <w:rPr>
                <w:color w:val="000000"/>
                <w:lang w:val="fr-CA"/>
              </w:rPr>
              <w:t>11</w:t>
            </w:r>
            <w:r w:rsidR="00DA5B53">
              <w:rPr>
                <w:color w:val="000000"/>
                <w:lang w:val="fr-CA"/>
              </w:rPr>
              <w:t>,</w:t>
            </w:r>
            <w:r w:rsidRPr="00CD3C74">
              <w:rPr>
                <w:color w:val="000000"/>
                <w:lang w:val="fr-CA"/>
              </w:rPr>
              <w:t>0</w:t>
            </w:r>
          </w:p>
          <w:p w:rsidR="00F33104" w:rsidRPr="00CD3C74" w:rsidRDefault="00F33104" w:rsidP="00DA5B53">
            <w:pPr>
              <w:jc w:val="center"/>
              <w:rPr>
                <w:lang w:val="fr-CA"/>
              </w:rPr>
            </w:pPr>
            <w:r w:rsidRPr="00CD3C74">
              <w:rPr>
                <w:color w:val="000000"/>
                <w:lang w:val="fr-CA"/>
              </w:rPr>
              <w:t>1</w:t>
            </w:r>
            <w:r w:rsidR="00DA5B53">
              <w:rPr>
                <w:color w:val="000000"/>
                <w:lang w:val="fr-CA"/>
              </w:rPr>
              <w:t>,</w:t>
            </w:r>
            <w:r w:rsidRPr="00CD3C74">
              <w:rPr>
                <w:color w:val="000000"/>
                <w:lang w:val="fr-CA"/>
              </w:rPr>
              <w:t>2</w:t>
            </w:r>
          </w:p>
          <w:p w:rsidR="00F33104" w:rsidRPr="00CD3C74" w:rsidRDefault="00F33104" w:rsidP="00DA5B53">
            <w:pPr>
              <w:jc w:val="center"/>
              <w:rPr>
                <w:lang w:val="fr-CA"/>
              </w:rPr>
            </w:pPr>
            <w:r w:rsidRPr="00CD3C74">
              <w:rPr>
                <w:color w:val="000000"/>
                <w:lang w:val="fr-CA"/>
              </w:rPr>
              <w:t>0</w:t>
            </w:r>
            <w:r w:rsidR="00DA5B53">
              <w:rPr>
                <w:color w:val="000000"/>
                <w:lang w:val="fr-CA"/>
              </w:rPr>
              <w:t>,</w:t>
            </w:r>
            <w:r w:rsidRPr="00CD3C74">
              <w:rPr>
                <w:color w:val="000000"/>
                <w:lang w:val="fr-CA"/>
              </w:rPr>
              <w:t>09</w:t>
            </w:r>
          </w:p>
        </w:tc>
      </w:tr>
    </w:tbl>
    <w:p w:rsidR="00F33104" w:rsidRPr="00CD3C74" w:rsidRDefault="00DA5B53">
      <w:pPr>
        <w:jc w:val="both"/>
        <w:rPr>
          <w:color w:val="000000"/>
          <w:lang w:val="fr-CA"/>
        </w:rPr>
      </w:pPr>
      <w:r>
        <w:rPr>
          <w:color w:val="000000"/>
          <w:lang w:val="fr-CA"/>
        </w:rPr>
        <w:t xml:space="preserve">Cette </w:t>
      </w:r>
      <w:r w:rsidR="00AC43A7">
        <w:rPr>
          <w:color w:val="000000"/>
          <w:lang w:val="fr-CA"/>
        </w:rPr>
        <w:t>table e</w:t>
      </w:r>
      <w:r>
        <w:rPr>
          <w:color w:val="000000"/>
          <w:lang w:val="fr-CA"/>
        </w:rPr>
        <w:t xml:space="preserve">st extraite du document de </w:t>
      </w:r>
      <w:r w:rsidR="00F33104" w:rsidRPr="00CD3C74">
        <w:rPr>
          <w:color w:val="000000"/>
          <w:lang w:val="fr-CA"/>
        </w:rPr>
        <w:t xml:space="preserve">Shepherd et </w:t>
      </w:r>
      <w:r>
        <w:rPr>
          <w:color w:val="000000"/>
          <w:lang w:val="fr-CA"/>
        </w:rPr>
        <w:t>coll</w:t>
      </w:r>
      <w:r w:rsidR="00F33104" w:rsidRPr="00CD3C74">
        <w:rPr>
          <w:color w:val="000000"/>
          <w:lang w:val="fr-CA"/>
        </w:rPr>
        <w:t xml:space="preserve">. (1993). </w:t>
      </w:r>
    </w:p>
    <w:p w:rsidR="00D54172" w:rsidRPr="00CD3C74" w:rsidRDefault="00D54172">
      <w:pPr>
        <w:jc w:val="both"/>
        <w:rPr>
          <w:color w:val="000000"/>
          <w:lang w:val="fr-CA"/>
        </w:rPr>
      </w:pPr>
    </w:p>
    <w:p w:rsidR="00D54172" w:rsidRPr="00CD3C74" w:rsidRDefault="00F51641">
      <w:pPr>
        <w:jc w:val="both"/>
        <w:rPr>
          <w:color w:val="000000"/>
          <w:lang w:val="fr-CA"/>
        </w:rPr>
      </w:pPr>
      <w:r w:rsidRPr="00F51641">
        <w:rPr>
          <w:color w:val="000000"/>
          <w:lang w:val="fr-CA"/>
        </w:rPr>
        <w:t xml:space="preserve">Les commentaires sur les quantités mesurées pour chaque filtre sont les suivants. Les numéros de </w:t>
      </w:r>
      <w:r w:rsidR="00DA5B53">
        <w:rPr>
          <w:color w:val="000000"/>
          <w:lang w:val="fr-CA"/>
        </w:rPr>
        <w:t xml:space="preserve">la première colonne </w:t>
      </w:r>
      <w:r w:rsidRPr="00F51641">
        <w:rPr>
          <w:color w:val="000000"/>
          <w:lang w:val="fr-CA"/>
        </w:rPr>
        <w:t>correspondent aux numéros de filtre</w:t>
      </w:r>
      <w:r w:rsidR="001E3D2E" w:rsidRPr="00CD3C74">
        <w:rPr>
          <w:color w:val="000000"/>
          <w:lang w:val="fr-CA"/>
        </w:rPr>
        <w:t xml:space="preserve">. </w:t>
      </w:r>
    </w:p>
    <w:p w:rsidR="00F51641" w:rsidRPr="00F51641" w:rsidRDefault="00F51641" w:rsidP="00F51641">
      <w:pPr>
        <w:numPr>
          <w:ilvl w:val="0"/>
          <w:numId w:val="1"/>
        </w:numPr>
        <w:jc w:val="both"/>
        <w:rPr>
          <w:color w:val="000000"/>
          <w:lang w:val="fr-CA"/>
        </w:rPr>
      </w:pPr>
      <w:bookmarkStart w:id="0" w:name="a"/>
      <w:bookmarkEnd w:id="0"/>
      <w:r w:rsidRPr="00F51641">
        <w:rPr>
          <w:color w:val="000000"/>
          <w:lang w:val="fr-CA"/>
        </w:rPr>
        <w:lastRenderedPageBreak/>
        <w:t xml:space="preserve">Le fond </w:t>
      </w:r>
      <w:r w:rsidR="00C82DF4">
        <w:rPr>
          <w:color w:val="000000"/>
          <w:lang w:val="fr-CA"/>
        </w:rPr>
        <w:t>était</w:t>
      </w:r>
      <w:r w:rsidRPr="00F51641">
        <w:rPr>
          <w:color w:val="000000"/>
          <w:lang w:val="fr-CA"/>
        </w:rPr>
        <w:t xml:space="preserve"> soustrait des mesures pour les filtres 2, 3, 4, 6 et 7. Ce filtre a également été utilisé pour des observations limitées de nuages mésosphériques polaires.</w:t>
      </w:r>
    </w:p>
    <w:p w:rsidR="00F51641" w:rsidRPr="00F51641" w:rsidRDefault="00F51641" w:rsidP="00F51641">
      <w:pPr>
        <w:numPr>
          <w:ilvl w:val="0"/>
          <w:numId w:val="1"/>
        </w:numPr>
        <w:jc w:val="both"/>
        <w:rPr>
          <w:color w:val="000000"/>
          <w:lang w:val="fr-CA"/>
        </w:rPr>
      </w:pPr>
      <w:r w:rsidRPr="00F51641">
        <w:rPr>
          <w:color w:val="000000"/>
          <w:lang w:val="fr-CA"/>
        </w:rPr>
        <w:t>L</w:t>
      </w:r>
      <w:r w:rsidR="00E24EBD">
        <w:rPr>
          <w:color w:val="000000"/>
          <w:lang w:val="fr-CA"/>
        </w:rPr>
        <w:t>’</w:t>
      </w:r>
      <w:r w:rsidRPr="00F51641">
        <w:rPr>
          <w:color w:val="000000"/>
          <w:lang w:val="fr-CA"/>
        </w:rPr>
        <w:t xml:space="preserve">émission </w:t>
      </w:r>
      <w:r w:rsidR="00DD005C">
        <w:rPr>
          <w:color w:val="000000"/>
          <w:lang w:val="fr-CA"/>
        </w:rPr>
        <w:t xml:space="preserve">par </w:t>
      </w:r>
      <w:r w:rsidRPr="00F51641">
        <w:rPr>
          <w:color w:val="000000"/>
          <w:lang w:val="fr-CA"/>
        </w:rPr>
        <w:t xml:space="preserve">O (1S) a fourni des mesures de vent de haute qualité pour la mission, en observant </w:t>
      </w:r>
      <w:r w:rsidR="00DD005C">
        <w:rPr>
          <w:color w:val="000000"/>
          <w:lang w:val="fr-CA"/>
        </w:rPr>
        <w:t xml:space="preserve">le jour </w:t>
      </w:r>
      <w:r w:rsidRPr="00F51641">
        <w:rPr>
          <w:color w:val="000000"/>
          <w:lang w:val="fr-CA"/>
        </w:rPr>
        <w:t>(85 à 250</w:t>
      </w:r>
      <w:r w:rsidR="007A70BD">
        <w:rPr>
          <w:color w:val="000000"/>
          <w:lang w:val="fr-CA"/>
        </w:rPr>
        <w:t> km</w:t>
      </w:r>
      <w:r w:rsidRPr="00F51641">
        <w:rPr>
          <w:color w:val="000000"/>
          <w:lang w:val="fr-CA"/>
        </w:rPr>
        <w:t>) et la nuit (85 à 115</w:t>
      </w:r>
      <w:r w:rsidR="007A70BD">
        <w:rPr>
          <w:color w:val="000000"/>
          <w:lang w:val="fr-CA"/>
        </w:rPr>
        <w:t> km</w:t>
      </w:r>
      <w:r w:rsidRPr="00F51641">
        <w:rPr>
          <w:color w:val="000000"/>
          <w:lang w:val="fr-CA"/>
        </w:rPr>
        <w:t xml:space="preserve">). Les températures </w:t>
      </w:r>
      <w:r w:rsidR="00C82DF4">
        <w:rPr>
          <w:color w:val="000000"/>
          <w:lang w:val="fr-CA"/>
        </w:rPr>
        <w:t>étaient</w:t>
      </w:r>
      <w:r w:rsidR="00DD005C">
        <w:rPr>
          <w:color w:val="000000"/>
          <w:lang w:val="fr-CA"/>
        </w:rPr>
        <w:t xml:space="preserve"> </w:t>
      </w:r>
      <w:r w:rsidRPr="00F51641">
        <w:rPr>
          <w:color w:val="000000"/>
          <w:lang w:val="fr-CA"/>
        </w:rPr>
        <w:t>dérivées de la visibilité (</w:t>
      </w:r>
      <w:r w:rsidR="00DD005C">
        <w:rPr>
          <w:color w:val="000000"/>
          <w:lang w:val="fr-CA"/>
        </w:rPr>
        <w:t>taux de modulation</w:t>
      </w:r>
      <w:r w:rsidRPr="00F51641">
        <w:rPr>
          <w:color w:val="000000"/>
          <w:lang w:val="fr-CA"/>
        </w:rPr>
        <w:t xml:space="preserve">) des franges en supposant une forme de </w:t>
      </w:r>
      <w:r w:rsidR="00060F50">
        <w:rPr>
          <w:color w:val="000000"/>
          <w:lang w:val="fr-CA"/>
        </w:rPr>
        <w:t>raie</w:t>
      </w:r>
      <w:r w:rsidRPr="00F51641">
        <w:rPr>
          <w:color w:val="000000"/>
          <w:lang w:val="fr-CA"/>
        </w:rPr>
        <w:t xml:space="preserve"> </w:t>
      </w:r>
      <w:proofErr w:type="spellStart"/>
      <w:r w:rsidRPr="00F51641">
        <w:rPr>
          <w:color w:val="000000"/>
          <w:lang w:val="fr-CA"/>
        </w:rPr>
        <w:t>lorentzienne</w:t>
      </w:r>
      <w:proofErr w:type="spellEnd"/>
      <w:r w:rsidRPr="00F51641">
        <w:rPr>
          <w:color w:val="000000"/>
          <w:lang w:val="fr-CA"/>
        </w:rPr>
        <w:t>. Ces températures devraient être valables jusqu</w:t>
      </w:r>
      <w:r w:rsidR="00E24EBD">
        <w:rPr>
          <w:color w:val="000000"/>
          <w:lang w:val="fr-CA"/>
        </w:rPr>
        <w:t>’</w:t>
      </w:r>
      <w:r w:rsidRPr="00F51641">
        <w:rPr>
          <w:color w:val="000000"/>
          <w:lang w:val="fr-CA"/>
        </w:rPr>
        <w:t>à environ 130</w:t>
      </w:r>
      <w:r w:rsidR="007A70BD">
        <w:rPr>
          <w:color w:val="000000"/>
          <w:lang w:val="fr-CA"/>
        </w:rPr>
        <w:t> km</w:t>
      </w:r>
      <w:r w:rsidRPr="00F51641">
        <w:rPr>
          <w:color w:val="000000"/>
          <w:lang w:val="fr-CA"/>
        </w:rPr>
        <w:t xml:space="preserve"> en raison de la thermalisation par collision d</w:t>
      </w:r>
      <w:r w:rsidR="00DD005C">
        <w:rPr>
          <w:color w:val="000000"/>
          <w:lang w:val="fr-CA"/>
        </w:rPr>
        <w:t>e l’</w:t>
      </w:r>
      <w:r w:rsidRPr="00F51641">
        <w:rPr>
          <w:color w:val="000000"/>
          <w:lang w:val="fr-CA"/>
        </w:rPr>
        <w:t>O</w:t>
      </w:r>
      <w:r w:rsidR="00DD005C">
        <w:rPr>
          <w:color w:val="000000"/>
          <w:lang w:val="fr-CA"/>
        </w:rPr>
        <w:t> </w:t>
      </w:r>
      <w:r w:rsidRPr="00F51641">
        <w:rPr>
          <w:color w:val="000000"/>
          <w:lang w:val="fr-CA"/>
        </w:rPr>
        <w:t>(1S) excité</w:t>
      </w:r>
      <w:r w:rsidR="00DD005C">
        <w:rPr>
          <w:color w:val="000000"/>
          <w:lang w:val="fr-CA"/>
        </w:rPr>
        <w:t>,</w:t>
      </w:r>
      <w:r w:rsidRPr="00F51641">
        <w:rPr>
          <w:color w:val="000000"/>
          <w:lang w:val="fr-CA"/>
        </w:rPr>
        <w:t xml:space="preserve"> qui a une durée de vie d</w:t>
      </w:r>
      <w:r w:rsidR="00E24EBD">
        <w:rPr>
          <w:color w:val="000000"/>
          <w:lang w:val="fr-CA"/>
        </w:rPr>
        <w:t>’</w:t>
      </w:r>
      <w:r w:rsidRPr="00F51641">
        <w:rPr>
          <w:color w:val="000000"/>
          <w:lang w:val="fr-CA"/>
        </w:rPr>
        <w:t>environ 1</w:t>
      </w:r>
      <w:r w:rsidR="00DD005C">
        <w:rPr>
          <w:color w:val="000000"/>
          <w:lang w:val="fr-CA"/>
        </w:rPr>
        <w:t> s</w:t>
      </w:r>
      <w:r w:rsidR="00AC43A7">
        <w:rPr>
          <w:color w:val="000000"/>
          <w:lang w:val="fr-CA"/>
        </w:rPr>
        <w:t>econ</w:t>
      </w:r>
      <w:r w:rsidRPr="00F51641">
        <w:rPr>
          <w:color w:val="000000"/>
          <w:lang w:val="fr-CA"/>
        </w:rPr>
        <w:t>de, mais les observations ne sont pas cohérentes avec cette hypothèse pour des raisons inconnues.</w:t>
      </w:r>
    </w:p>
    <w:p w:rsidR="00F51641" w:rsidRPr="00F51641" w:rsidRDefault="00F51641" w:rsidP="00F51641">
      <w:pPr>
        <w:numPr>
          <w:ilvl w:val="0"/>
          <w:numId w:val="1"/>
        </w:numPr>
        <w:jc w:val="both"/>
        <w:rPr>
          <w:color w:val="000000"/>
          <w:lang w:val="fr-CA"/>
        </w:rPr>
      </w:pPr>
      <w:r w:rsidRPr="00F51641">
        <w:rPr>
          <w:color w:val="000000"/>
          <w:lang w:val="fr-CA"/>
        </w:rPr>
        <w:t>L</w:t>
      </w:r>
      <w:r w:rsidR="00E24EBD">
        <w:rPr>
          <w:color w:val="000000"/>
          <w:lang w:val="fr-CA"/>
        </w:rPr>
        <w:t>’</w:t>
      </w:r>
      <w:r w:rsidRPr="00F51641">
        <w:rPr>
          <w:color w:val="000000"/>
          <w:lang w:val="fr-CA"/>
        </w:rPr>
        <w:t xml:space="preserve">émission </w:t>
      </w:r>
      <w:r w:rsidR="00DD005C">
        <w:rPr>
          <w:color w:val="000000"/>
          <w:lang w:val="fr-CA"/>
        </w:rPr>
        <w:t>par</w:t>
      </w:r>
      <w:r w:rsidRPr="00F51641">
        <w:rPr>
          <w:color w:val="000000"/>
          <w:lang w:val="fr-CA"/>
        </w:rPr>
        <w:t xml:space="preserve"> O</w:t>
      </w:r>
      <w:r w:rsidR="00DD005C">
        <w:rPr>
          <w:color w:val="000000"/>
          <w:lang w:val="fr-CA"/>
        </w:rPr>
        <w:t> </w:t>
      </w:r>
      <w:r w:rsidRPr="00F51641">
        <w:rPr>
          <w:color w:val="000000"/>
          <w:lang w:val="fr-CA"/>
        </w:rPr>
        <w:t>(1D) a également fourni des mesures du vent de haute qualité, de jour comme de nuit, d</w:t>
      </w:r>
      <w:r w:rsidR="00E24EBD">
        <w:rPr>
          <w:color w:val="000000"/>
          <w:lang w:val="fr-CA"/>
        </w:rPr>
        <w:t>’</w:t>
      </w:r>
      <w:r w:rsidRPr="00F51641">
        <w:rPr>
          <w:color w:val="000000"/>
          <w:lang w:val="fr-CA"/>
        </w:rPr>
        <w:t>environ 150 à 250</w:t>
      </w:r>
      <w:r w:rsidR="007A70BD">
        <w:rPr>
          <w:color w:val="000000"/>
          <w:lang w:val="fr-CA"/>
        </w:rPr>
        <w:t> km</w:t>
      </w:r>
      <w:r w:rsidRPr="00F51641">
        <w:rPr>
          <w:color w:val="000000"/>
          <w:lang w:val="fr-CA"/>
        </w:rPr>
        <w:t>. La longue durée de vie (110</w:t>
      </w:r>
      <w:r w:rsidR="00DD005C">
        <w:rPr>
          <w:color w:val="000000"/>
          <w:lang w:val="fr-CA"/>
        </w:rPr>
        <w:t> s</w:t>
      </w:r>
      <w:r w:rsidRPr="00F51641">
        <w:rPr>
          <w:color w:val="000000"/>
          <w:lang w:val="fr-CA"/>
        </w:rPr>
        <w:t>) des espèces excitées assure une thermalisation</w:t>
      </w:r>
      <w:r w:rsidR="00DD005C">
        <w:rPr>
          <w:color w:val="000000"/>
          <w:lang w:val="fr-CA"/>
        </w:rPr>
        <w:t xml:space="preserve">, ce qui a permis d’obtenir </w:t>
      </w:r>
      <w:r w:rsidRPr="00F51641">
        <w:rPr>
          <w:color w:val="000000"/>
          <w:lang w:val="fr-CA"/>
        </w:rPr>
        <w:t xml:space="preserve">des températures significatives. </w:t>
      </w:r>
      <w:r w:rsidR="00DD005C">
        <w:rPr>
          <w:color w:val="000000"/>
          <w:lang w:val="fr-CA"/>
        </w:rPr>
        <w:t>Elles</w:t>
      </w:r>
      <w:r w:rsidRPr="00F51641">
        <w:rPr>
          <w:color w:val="000000"/>
          <w:lang w:val="fr-CA"/>
        </w:rPr>
        <w:t xml:space="preserve"> peuvent être environ 100</w:t>
      </w:r>
      <w:r w:rsidR="00DD005C">
        <w:rPr>
          <w:color w:val="000000"/>
          <w:lang w:val="fr-CA"/>
        </w:rPr>
        <w:t> </w:t>
      </w:r>
      <w:r w:rsidRPr="00F51641">
        <w:rPr>
          <w:color w:val="000000"/>
          <w:lang w:val="fr-CA"/>
        </w:rPr>
        <w:t>K plus élevés que d</w:t>
      </w:r>
      <w:r w:rsidR="00E24EBD">
        <w:rPr>
          <w:color w:val="000000"/>
          <w:lang w:val="fr-CA"/>
        </w:rPr>
        <w:t>’</w:t>
      </w:r>
      <w:r w:rsidRPr="00F51641">
        <w:rPr>
          <w:color w:val="000000"/>
          <w:lang w:val="fr-CA"/>
        </w:rPr>
        <w:t>autres mesures (</w:t>
      </w:r>
      <w:proofErr w:type="spellStart"/>
      <w:r w:rsidRPr="00F51641">
        <w:rPr>
          <w:color w:val="000000"/>
          <w:lang w:val="fr-CA"/>
        </w:rPr>
        <w:t>Lathuillère</w:t>
      </w:r>
      <w:proofErr w:type="spellEnd"/>
      <w:r w:rsidRPr="00F51641">
        <w:rPr>
          <w:color w:val="000000"/>
          <w:lang w:val="fr-CA"/>
        </w:rPr>
        <w:t>, C., W. A.</w:t>
      </w:r>
      <w:r w:rsidR="00DD005C">
        <w:rPr>
          <w:color w:val="000000"/>
          <w:lang w:val="fr-CA"/>
        </w:rPr>
        <w:t>,</w:t>
      </w:r>
      <w:r w:rsidRPr="00F51641">
        <w:rPr>
          <w:color w:val="000000"/>
          <w:lang w:val="fr-CA"/>
        </w:rPr>
        <w:t xml:space="preserve"> Gault, B.</w:t>
      </w:r>
      <w:r w:rsidR="00DD005C">
        <w:rPr>
          <w:color w:val="000000"/>
          <w:lang w:val="fr-CA"/>
        </w:rPr>
        <w:t>,</w:t>
      </w:r>
      <w:r w:rsidRPr="00F51641">
        <w:rPr>
          <w:color w:val="000000"/>
          <w:lang w:val="fr-CA"/>
        </w:rPr>
        <w:t xml:space="preserve"> </w:t>
      </w:r>
      <w:proofErr w:type="spellStart"/>
      <w:r w:rsidRPr="00F51641">
        <w:rPr>
          <w:color w:val="000000"/>
          <w:lang w:val="fr-CA"/>
        </w:rPr>
        <w:t>Lamballais</w:t>
      </w:r>
      <w:proofErr w:type="spellEnd"/>
      <w:r w:rsidRPr="00F51641">
        <w:rPr>
          <w:color w:val="000000"/>
          <w:lang w:val="fr-CA"/>
        </w:rPr>
        <w:t>,</w:t>
      </w:r>
      <w:r w:rsidR="00DD005C">
        <w:rPr>
          <w:color w:val="000000"/>
          <w:lang w:val="fr-CA"/>
        </w:rPr>
        <w:t> </w:t>
      </w:r>
      <w:r w:rsidRPr="00F51641">
        <w:rPr>
          <w:color w:val="000000"/>
          <w:lang w:val="fr-CA"/>
        </w:rPr>
        <w:t>Y.J.</w:t>
      </w:r>
      <w:r w:rsidR="00DD005C">
        <w:rPr>
          <w:color w:val="000000"/>
          <w:lang w:val="fr-CA"/>
        </w:rPr>
        <w:t>,</w:t>
      </w:r>
      <w:r w:rsidRPr="00F51641">
        <w:rPr>
          <w:color w:val="000000"/>
          <w:lang w:val="fr-CA"/>
        </w:rPr>
        <w:t xml:space="preserve"> </w:t>
      </w:r>
      <w:proofErr w:type="spellStart"/>
      <w:r w:rsidRPr="00F51641">
        <w:rPr>
          <w:color w:val="000000"/>
          <w:lang w:val="fr-CA"/>
        </w:rPr>
        <w:t>Rochon</w:t>
      </w:r>
      <w:proofErr w:type="spellEnd"/>
      <w:r w:rsidRPr="00F51641">
        <w:rPr>
          <w:color w:val="000000"/>
          <w:lang w:val="fr-CA"/>
        </w:rPr>
        <w:t xml:space="preserve"> et B.H. Solheim, Ann </w:t>
      </w:r>
      <w:proofErr w:type="spellStart"/>
      <w:r w:rsidRPr="00F51641">
        <w:rPr>
          <w:color w:val="000000"/>
          <w:lang w:val="fr-CA"/>
        </w:rPr>
        <w:t>Geophysicae</w:t>
      </w:r>
      <w:proofErr w:type="spellEnd"/>
      <w:r w:rsidRPr="00F51641">
        <w:rPr>
          <w:color w:val="000000"/>
          <w:lang w:val="fr-CA"/>
        </w:rPr>
        <w:t>, 20, 203-212, 2002).</w:t>
      </w:r>
    </w:p>
    <w:p w:rsidR="00F51641" w:rsidRPr="00F51641" w:rsidRDefault="00F51641" w:rsidP="00F51641">
      <w:pPr>
        <w:numPr>
          <w:ilvl w:val="0"/>
          <w:numId w:val="1"/>
        </w:numPr>
        <w:jc w:val="both"/>
        <w:rPr>
          <w:color w:val="000000"/>
          <w:lang w:val="fr-CA"/>
        </w:rPr>
      </w:pPr>
      <w:r w:rsidRPr="00F51641">
        <w:rPr>
          <w:color w:val="000000"/>
          <w:lang w:val="fr-CA"/>
        </w:rPr>
        <w:t>Ce filtre observe l</w:t>
      </w:r>
      <w:r w:rsidR="00E24EBD">
        <w:rPr>
          <w:color w:val="000000"/>
          <w:lang w:val="fr-CA"/>
        </w:rPr>
        <w:t>’</w:t>
      </w:r>
      <w:r w:rsidRPr="00F51641">
        <w:rPr>
          <w:color w:val="000000"/>
          <w:lang w:val="fr-CA"/>
        </w:rPr>
        <w:t xml:space="preserve">émission </w:t>
      </w:r>
      <w:proofErr w:type="spellStart"/>
      <w:r w:rsidRPr="00F51641">
        <w:rPr>
          <w:color w:val="000000"/>
          <w:lang w:val="fr-CA"/>
        </w:rPr>
        <w:t>thermosphérique</w:t>
      </w:r>
      <w:proofErr w:type="spellEnd"/>
      <w:r w:rsidRPr="00F51641">
        <w:rPr>
          <w:color w:val="000000"/>
          <w:lang w:val="fr-CA"/>
        </w:rPr>
        <w:t xml:space="preserve"> </w:t>
      </w:r>
      <w:r w:rsidR="00DD005C">
        <w:rPr>
          <w:color w:val="000000"/>
          <w:lang w:val="fr-CA"/>
        </w:rPr>
        <w:t xml:space="preserve">par </w:t>
      </w:r>
      <w:r w:rsidRPr="00F51641">
        <w:rPr>
          <w:color w:val="000000"/>
          <w:lang w:val="fr-CA"/>
        </w:rPr>
        <w:t>O+</w:t>
      </w:r>
      <w:r w:rsidR="00DD005C">
        <w:rPr>
          <w:color w:val="000000"/>
          <w:lang w:val="fr-CA"/>
        </w:rPr>
        <w:t> </w:t>
      </w:r>
      <w:r w:rsidRPr="00F51641">
        <w:rPr>
          <w:color w:val="000000"/>
          <w:lang w:val="fr-CA"/>
        </w:rPr>
        <w:t xml:space="preserve">(2P) à des altitudes plus élevées (partie supérieure du </w:t>
      </w:r>
      <w:r w:rsidR="007A70BD">
        <w:rPr>
          <w:color w:val="000000"/>
          <w:lang w:val="fr-CA"/>
        </w:rPr>
        <w:t>champ</w:t>
      </w:r>
      <w:r w:rsidRPr="00F51641">
        <w:rPr>
          <w:color w:val="000000"/>
          <w:lang w:val="fr-CA"/>
        </w:rPr>
        <w:t>) pendant la journée seulement, en observant les taux d</w:t>
      </w:r>
      <w:r w:rsidR="00E24EBD">
        <w:rPr>
          <w:color w:val="000000"/>
          <w:lang w:val="fr-CA"/>
        </w:rPr>
        <w:t>’</w:t>
      </w:r>
      <w:r w:rsidRPr="00F51641">
        <w:rPr>
          <w:color w:val="000000"/>
          <w:lang w:val="fr-CA"/>
        </w:rPr>
        <w:t xml:space="preserve">émission </w:t>
      </w:r>
      <w:r w:rsidR="00DD005C">
        <w:rPr>
          <w:color w:val="000000"/>
          <w:lang w:val="fr-CA"/>
        </w:rPr>
        <w:t>volumiques</w:t>
      </w:r>
      <w:r w:rsidRPr="00F51641">
        <w:rPr>
          <w:color w:val="000000"/>
          <w:lang w:val="fr-CA"/>
        </w:rPr>
        <w:t xml:space="preserve">, </w:t>
      </w:r>
      <w:r w:rsidR="00DD005C">
        <w:rPr>
          <w:color w:val="000000"/>
          <w:lang w:val="fr-CA"/>
        </w:rPr>
        <w:t xml:space="preserve">et non </w:t>
      </w:r>
      <w:r w:rsidRPr="00F51641">
        <w:rPr>
          <w:color w:val="000000"/>
          <w:lang w:val="fr-CA"/>
        </w:rPr>
        <w:t xml:space="preserve">les vents ou les températures. À basse altitude (partie inférieure du </w:t>
      </w:r>
      <w:r w:rsidR="007A70BD">
        <w:rPr>
          <w:color w:val="000000"/>
          <w:lang w:val="fr-CA"/>
        </w:rPr>
        <w:t>champ</w:t>
      </w:r>
      <w:r w:rsidRPr="00F51641">
        <w:rPr>
          <w:color w:val="000000"/>
          <w:lang w:val="fr-CA"/>
        </w:rPr>
        <w:t>), il observe le taux d</w:t>
      </w:r>
      <w:r w:rsidR="00E24EBD">
        <w:rPr>
          <w:color w:val="000000"/>
          <w:lang w:val="fr-CA"/>
        </w:rPr>
        <w:t>’</w:t>
      </w:r>
      <w:r w:rsidRPr="00F51641">
        <w:rPr>
          <w:color w:val="000000"/>
          <w:lang w:val="fr-CA"/>
        </w:rPr>
        <w:t xml:space="preserve">émission volumique de la </w:t>
      </w:r>
      <w:r w:rsidR="00060F50">
        <w:rPr>
          <w:color w:val="000000"/>
          <w:lang w:val="fr-CA"/>
        </w:rPr>
        <w:t>raie</w:t>
      </w:r>
      <w:r w:rsidRPr="00F51641">
        <w:rPr>
          <w:color w:val="000000"/>
          <w:lang w:val="fr-CA"/>
        </w:rPr>
        <w:t xml:space="preserve"> P1</w:t>
      </w:r>
      <w:r w:rsidR="00DD005C">
        <w:rPr>
          <w:color w:val="000000"/>
          <w:lang w:val="fr-CA"/>
        </w:rPr>
        <w:t> </w:t>
      </w:r>
      <w:r w:rsidRPr="00F51641">
        <w:rPr>
          <w:color w:val="000000"/>
          <w:lang w:val="fr-CA"/>
        </w:rPr>
        <w:t>(2) OH la nuit.</w:t>
      </w:r>
    </w:p>
    <w:p w:rsidR="00F51641" w:rsidRPr="00F51641" w:rsidRDefault="00F51641" w:rsidP="00F51641">
      <w:pPr>
        <w:numPr>
          <w:ilvl w:val="0"/>
          <w:numId w:val="1"/>
        </w:numPr>
        <w:jc w:val="both"/>
        <w:rPr>
          <w:color w:val="000000"/>
          <w:lang w:val="fr-CA"/>
        </w:rPr>
      </w:pPr>
      <w:r w:rsidRPr="00F51641">
        <w:rPr>
          <w:color w:val="000000"/>
          <w:lang w:val="fr-CA"/>
        </w:rPr>
        <w:t>Ce filtre observe la totalité du taux d</w:t>
      </w:r>
      <w:r w:rsidR="00E24EBD">
        <w:rPr>
          <w:color w:val="000000"/>
          <w:lang w:val="fr-CA"/>
        </w:rPr>
        <w:t>’</w:t>
      </w:r>
      <w:r w:rsidRPr="00F51641">
        <w:rPr>
          <w:color w:val="000000"/>
          <w:lang w:val="fr-CA"/>
        </w:rPr>
        <w:t xml:space="preserve">émission de la bande OH et le fond </w:t>
      </w:r>
      <w:r w:rsidR="00104E86">
        <w:rPr>
          <w:color w:val="000000"/>
          <w:lang w:val="fr-CA"/>
        </w:rPr>
        <w:t>d’</w:t>
      </w:r>
      <w:r w:rsidRPr="00F51641">
        <w:rPr>
          <w:color w:val="000000"/>
          <w:lang w:val="fr-CA"/>
        </w:rPr>
        <w:t>OH avec un seul filtre fractionné.</w:t>
      </w:r>
    </w:p>
    <w:p w:rsidR="00F51641" w:rsidRPr="00F51641" w:rsidRDefault="00F51641" w:rsidP="00F51641">
      <w:pPr>
        <w:numPr>
          <w:ilvl w:val="0"/>
          <w:numId w:val="1"/>
        </w:numPr>
        <w:jc w:val="both"/>
        <w:rPr>
          <w:color w:val="000000"/>
          <w:lang w:val="fr-CA"/>
        </w:rPr>
      </w:pPr>
      <w:r w:rsidRPr="00F51641">
        <w:rPr>
          <w:color w:val="000000"/>
          <w:lang w:val="fr-CA"/>
        </w:rPr>
        <w:t>Ce filtre observe le taux d</w:t>
      </w:r>
      <w:r w:rsidR="00E24EBD">
        <w:rPr>
          <w:color w:val="000000"/>
          <w:lang w:val="fr-CA"/>
        </w:rPr>
        <w:t>’</w:t>
      </w:r>
      <w:r w:rsidRPr="00F51641">
        <w:rPr>
          <w:color w:val="000000"/>
          <w:lang w:val="fr-CA"/>
        </w:rPr>
        <w:t xml:space="preserve">émission </w:t>
      </w:r>
      <w:r w:rsidR="00104E86">
        <w:rPr>
          <w:color w:val="000000"/>
          <w:lang w:val="fr-CA"/>
        </w:rPr>
        <w:t>volumique</w:t>
      </w:r>
      <w:r w:rsidRPr="00F51641">
        <w:rPr>
          <w:color w:val="000000"/>
          <w:lang w:val="fr-CA"/>
        </w:rPr>
        <w:t xml:space="preserve"> de </w:t>
      </w:r>
      <w:r w:rsidR="00104E86">
        <w:rPr>
          <w:color w:val="000000"/>
          <w:lang w:val="fr-CA"/>
        </w:rPr>
        <w:t xml:space="preserve">la </w:t>
      </w:r>
      <w:r w:rsidR="00060F50">
        <w:rPr>
          <w:color w:val="000000"/>
          <w:lang w:val="fr-CA"/>
        </w:rPr>
        <w:t>raie</w:t>
      </w:r>
      <w:r w:rsidRPr="00F51641">
        <w:rPr>
          <w:color w:val="000000"/>
          <w:lang w:val="fr-CA"/>
        </w:rPr>
        <w:t xml:space="preserve"> OH P1</w:t>
      </w:r>
      <w:r w:rsidR="00AC43A7">
        <w:rPr>
          <w:color w:val="000000"/>
          <w:lang w:val="fr-CA"/>
        </w:rPr>
        <w:t xml:space="preserve"> (</w:t>
      </w:r>
      <w:r w:rsidRPr="00F51641">
        <w:rPr>
          <w:color w:val="000000"/>
          <w:lang w:val="fr-CA"/>
        </w:rPr>
        <w:t xml:space="preserve">3). A partir de </w:t>
      </w:r>
      <w:r w:rsidR="00104E86">
        <w:rPr>
          <w:color w:val="000000"/>
          <w:lang w:val="fr-CA"/>
        </w:rPr>
        <w:t>ces valeurs</w:t>
      </w:r>
      <w:r w:rsidRPr="00F51641">
        <w:rPr>
          <w:color w:val="000000"/>
          <w:lang w:val="fr-CA"/>
        </w:rPr>
        <w:t>, des concentrations d</w:t>
      </w:r>
      <w:r w:rsidR="00E24EBD">
        <w:rPr>
          <w:color w:val="000000"/>
          <w:lang w:val="fr-CA"/>
        </w:rPr>
        <w:t>’</w:t>
      </w:r>
      <w:r w:rsidRPr="00F51641">
        <w:rPr>
          <w:color w:val="000000"/>
          <w:lang w:val="fr-CA"/>
        </w:rPr>
        <w:t xml:space="preserve">oxygène atomique peuvent être obtenues. </w:t>
      </w:r>
      <w:r w:rsidR="00AC43A7">
        <w:rPr>
          <w:color w:val="000000"/>
          <w:lang w:val="fr-CA"/>
        </w:rPr>
        <w:t>Pour ce qui est d</w:t>
      </w:r>
      <w:r w:rsidRPr="00F51641">
        <w:rPr>
          <w:color w:val="000000"/>
          <w:lang w:val="fr-CA"/>
        </w:rPr>
        <w:t>es observations des filtres 4 et 5, l</w:t>
      </w:r>
      <w:r w:rsidR="00E24EBD">
        <w:rPr>
          <w:color w:val="000000"/>
          <w:lang w:val="fr-CA"/>
        </w:rPr>
        <w:t>’</w:t>
      </w:r>
      <w:r w:rsidRPr="00F51641">
        <w:rPr>
          <w:color w:val="000000"/>
          <w:lang w:val="fr-CA"/>
        </w:rPr>
        <w:t xml:space="preserve">objectif était de mesurer la température de rotation à partir de cette bande OH. Cependant, </w:t>
      </w:r>
      <w:r w:rsidR="00104E86" w:rsidRPr="00F51641">
        <w:rPr>
          <w:color w:val="000000"/>
          <w:lang w:val="fr-CA"/>
        </w:rPr>
        <w:t>pour des raisons inconnues</w:t>
      </w:r>
      <w:r w:rsidR="00104E86">
        <w:rPr>
          <w:color w:val="000000"/>
          <w:lang w:val="fr-CA"/>
        </w:rPr>
        <w:t xml:space="preserve">, on n’a pas pu obtenir </w:t>
      </w:r>
      <w:r w:rsidRPr="00F51641">
        <w:rPr>
          <w:color w:val="000000"/>
          <w:lang w:val="fr-CA"/>
        </w:rPr>
        <w:t>de résultats acceptables. L</w:t>
      </w:r>
      <w:r w:rsidR="00104E86">
        <w:rPr>
          <w:color w:val="000000"/>
          <w:lang w:val="fr-CA"/>
        </w:rPr>
        <w:t xml:space="preserve">a mesure des </w:t>
      </w:r>
      <w:r w:rsidRPr="00F51641">
        <w:rPr>
          <w:color w:val="000000"/>
          <w:lang w:val="fr-CA"/>
        </w:rPr>
        <w:t xml:space="preserve">vents </w:t>
      </w:r>
      <w:r w:rsidR="00104E86">
        <w:rPr>
          <w:color w:val="000000"/>
          <w:lang w:val="fr-CA"/>
        </w:rPr>
        <w:t xml:space="preserve">est </w:t>
      </w:r>
      <w:r w:rsidRPr="00F51641">
        <w:rPr>
          <w:color w:val="000000"/>
          <w:lang w:val="fr-CA"/>
        </w:rPr>
        <w:t xml:space="preserve">en principe possible mais </w:t>
      </w:r>
      <w:r w:rsidR="00104E86">
        <w:rPr>
          <w:color w:val="000000"/>
          <w:lang w:val="fr-CA"/>
        </w:rPr>
        <w:t xml:space="preserve">elle </w:t>
      </w:r>
      <w:r w:rsidRPr="00F51641">
        <w:rPr>
          <w:color w:val="000000"/>
          <w:lang w:val="fr-CA"/>
        </w:rPr>
        <w:t>n</w:t>
      </w:r>
      <w:r w:rsidR="00E24EBD">
        <w:rPr>
          <w:color w:val="000000"/>
          <w:lang w:val="fr-CA"/>
        </w:rPr>
        <w:t>’</w:t>
      </w:r>
      <w:r w:rsidR="00104E86">
        <w:rPr>
          <w:color w:val="000000"/>
          <w:lang w:val="fr-CA"/>
        </w:rPr>
        <w:t>a</w:t>
      </w:r>
      <w:r w:rsidRPr="00F51641">
        <w:rPr>
          <w:color w:val="000000"/>
          <w:lang w:val="fr-CA"/>
        </w:rPr>
        <w:t xml:space="preserve"> pas été validé</w:t>
      </w:r>
      <w:r w:rsidR="00104E86">
        <w:rPr>
          <w:color w:val="000000"/>
          <w:lang w:val="fr-CA"/>
        </w:rPr>
        <w:t>e</w:t>
      </w:r>
      <w:r w:rsidRPr="00F51641">
        <w:rPr>
          <w:color w:val="000000"/>
          <w:lang w:val="fr-CA"/>
        </w:rPr>
        <w:t>.</w:t>
      </w:r>
    </w:p>
    <w:p w:rsidR="00104E86" w:rsidRPr="00F51641" w:rsidRDefault="00F51641" w:rsidP="00104E86">
      <w:pPr>
        <w:numPr>
          <w:ilvl w:val="0"/>
          <w:numId w:val="1"/>
        </w:numPr>
        <w:jc w:val="both"/>
        <w:rPr>
          <w:color w:val="000000"/>
          <w:lang w:val="fr-CA"/>
        </w:rPr>
      </w:pPr>
      <w:r w:rsidRPr="00F51641">
        <w:rPr>
          <w:color w:val="000000"/>
          <w:lang w:val="fr-CA"/>
        </w:rPr>
        <w:t>Ce filtre observe les taux d</w:t>
      </w:r>
      <w:r w:rsidR="00E24EBD">
        <w:rPr>
          <w:color w:val="000000"/>
          <w:lang w:val="fr-CA"/>
        </w:rPr>
        <w:t>’</w:t>
      </w:r>
      <w:r w:rsidRPr="00F51641">
        <w:rPr>
          <w:color w:val="000000"/>
          <w:lang w:val="fr-CA"/>
        </w:rPr>
        <w:t xml:space="preserve">émission </w:t>
      </w:r>
      <w:r w:rsidR="00DD005C">
        <w:rPr>
          <w:color w:val="000000"/>
          <w:lang w:val="fr-CA"/>
        </w:rPr>
        <w:t>volumiques</w:t>
      </w:r>
      <w:r w:rsidRPr="00F51641">
        <w:rPr>
          <w:color w:val="000000"/>
          <w:lang w:val="fr-CA"/>
        </w:rPr>
        <w:t xml:space="preserve"> des </w:t>
      </w:r>
      <w:r w:rsidR="00060F50">
        <w:rPr>
          <w:color w:val="000000"/>
          <w:lang w:val="fr-CA"/>
        </w:rPr>
        <w:t>raie</w:t>
      </w:r>
      <w:r w:rsidRPr="00F51641">
        <w:rPr>
          <w:color w:val="000000"/>
          <w:lang w:val="fr-CA"/>
        </w:rPr>
        <w:t>s O2 PP(7) et PQ(7). A partir de ce</w:t>
      </w:r>
      <w:r w:rsidR="00104E86">
        <w:rPr>
          <w:color w:val="000000"/>
          <w:lang w:val="fr-CA"/>
        </w:rPr>
        <w:t>lles-</w:t>
      </w:r>
      <w:r w:rsidRPr="00F51641">
        <w:rPr>
          <w:color w:val="000000"/>
          <w:lang w:val="fr-CA"/>
        </w:rPr>
        <w:t>ci, les concentrations d</w:t>
      </w:r>
      <w:r w:rsidR="00E24EBD">
        <w:rPr>
          <w:color w:val="000000"/>
          <w:lang w:val="fr-CA"/>
        </w:rPr>
        <w:t>’</w:t>
      </w:r>
      <w:r w:rsidRPr="00F51641">
        <w:rPr>
          <w:color w:val="000000"/>
          <w:lang w:val="fr-CA"/>
        </w:rPr>
        <w:t xml:space="preserve">oxygène atomique peuvent être obtenues. </w:t>
      </w:r>
      <w:r w:rsidR="00104E86" w:rsidRPr="00F51641">
        <w:rPr>
          <w:color w:val="000000"/>
          <w:lang w:val="fr-CA"/>
        </w:rPr>
        <w:t>L</w:t>
      </w:r>
      <w:r w:rsidR="00104E86">
        <w:rPr>
          <w:color w:val="000000"/>
          <w:lang w:val="fr-CA"/>
        </w:rPr>
        <w:t xml:space="preserve">a mesure des </w:t>
      </w:r>
      <w:r w:rsidR="00104E86" w:rsidRPr="00F51641">
        <w:rPr>
          <w:color w:val="000000"/>
          <w:lang w:val="fr-CA"/>
        </w:rPr>
        <w:t xml:space="preserve">vents </w:t>
      </w:r>
      <w:r w:rsidR="00104E86">
        <w:rPr>
          <w:color w:val="000000"/>
          <w:lang w:val="fr-CA"/>
        </w:rPr>
        <w:t xml:space="preserve">est </w:t>
      </w:r>
      <w:r w:rsidR="00104E86" w:rsidRPr="00F51641">
        <w:rPr>
          <w:color w:val="000000"/>
          <w:lang w:val="fr-CA"/>
        </w:rPr>
        <w:t xml:space="preserve">en principe possible mais </w:t>
      </w:r>
      <w:r w:rsidR="00104E86">
        <w:rPr>
          <w:color w:val="000000"/>
          <w:lang w:val="fr-CA"/>
        </w:rPr>
        <w:t xml:space="preserve">elle </w:t>
      </w:r>
      <w:r w:rsidR="00104E86" w:rsidRPr="00F51641">
        <w:rPr>
          <w:color w:val="000000"/>
          <w:lang w:val="fr-CA"/>
        </w:rPr>
        <w:t>n</w:t>
      </w:r>
      <w:r w:rsidR="00E24EBD">
        <w:rPr>
          <w:color w:val="000000"/>
          <w:lang w:val="fr-CA"/>
        </w:rPr>
        <w:t>’</w:t>
      </w:r>
      <w:r w:rsidR="00104E86">
        <w:rPr>
          <w:color w:val="000000"/>
          <w:lang w:val="fr-CA"/>
        </w:rPr>
        <w:t>a</w:t>
      </w:r>
      <w:r w:rsidR="00104E86" w:rsidRPr="00F51641">
        <w:rPr>
          <w:color w:val="000000"/>
          <w:lang w:val="fr-CA"/>
        </w:rPr>
        <w:t xml:space="preserve"> pas été validé</w:t>
      </w:r>
      <w:r w:rsidR="00104E86">
        <w:rPr>
          <w:color w:val="000000"/>
          <w:lang w:val="fr-CA"/>
        </w:rPr>
        <w:t>e</w:t>
      </w:r>
      <w:r w:rsidR="00104E86" w:rsidRPr="00F51641">
        <w:rPr>
          <w:color w:val="000000"/>
          <w:lang w:val="fr-CA"/>
        </w:rPr>
        <w:t>.</w:t>
      </w:r>
    </w:p>
    <w:p w:rsidR="00F33104" w:rsidRPr="00CD3C74" w:rsidRDefault="00F33104">
      <w:pPr>
        <w:rPr>
          <w:color w:val="FF0000"/>
          <w:lang w:val="fr-CA"/>
        </w:rPr>
      </w:pPr>
    </w:p>
    <w:p w:rsidR="00F33104" w:rsidRPr="00CD3C74" w:rsidRDefault="00F51641">
      <w:pPr>
        <w:rPr>
          <w:lang w:val="fr-CA"/>
        </w:rPr>
      </w:pPr>
      <w:r>
        <w:rPr>
          <w:b/>
          <w:bCs/>
          <w:lang w:val="fr-CA"/>
        </w:rPr>
        <w:t>Qualité du jeu de données</w:t>
      </w:r>
    </w:p>
    <w:p w:rsidR="00F33104" w:rsidRPr="00CD3C74" w:rsidRDefault="00F33104">
      <w:pPr>
        <w:rPr>
          <w:lang w:val="fr-CA"/>
        </w:rPr>
      </w:pPr>
    </w:p>
    <w:p w:rsidR="00F51641" w:rsidRDefault="00F33104">
      <w:pPr>
        <w:jc w:val="both"/>
        <w:rPr>
          <w:lang w:val="fr-CA"/>
        </w:rPr>
      </w:pPr>
      <w:r w:rsidRPr="00CD3C74">
        <w:rPr>
          <w:lang w:val="fr-CA"/>
        </w:rPr>
        <w:tab/>
      </w:r>
      <w:r w:rsidR="00F51641" w:rsidRPr="00F51641">
        <w:rPr>
          <w:lang w:val="fr-CA"/>
        </w:rPr>
        <w:t>La qualité des données est donnée par l</w:t>
      </w:r>
      <w:r w:rsidR="00E24EBD">
        <w:rPr>
          <w:lang w:val="fr-CA"/>
        </w:rPr>
        <w:t>’</w:t>
      </w:r>
      <w:r w:rsidR="00F51641" w:rsidRPr="00F51641">
        <w:rPr>
          <w:lang w:val="fr-CA"/>
        </w:rPr>
        <w:t xml:space="preserve">écart-type de la quantité. Chaque élément de données dans chaque fichier est stocké avec un écart-type qui </w:t>
      </w:r>
      <w:r w:rsidR="00C82DF4">
        <w:rPr>
          <w:lang w:val="fr-CA"/>
        </w:rPr>
        <w:t>était</w:t>
      </w:r>
      <w:r w:rsidR="00F51641" w:rsidRPr="00F51641">
        <w:rPr>
          <w:lang w:val="fr-CA"/>
        </w:rPr>
        <w:t xml:space="preserve"> calculé par le logiciel d</w:t>
      </w:r>
      <w:r w:rsidR="00E24EBD">
        <w:rPr>
          <w:lang w:val="fr-CA"/>
        </w:rPr>
        <w:t>’</w:t>
      </w:r>
      <w:r w:rsidR="00F51641" w:rsidRPr="00F51641">
        <w:rPr>
          <w:lang w:val="fr-CA"/>
        </w:rPr>
        <w:t>analyse. L</w:t>
      </w:r>
      <w:r w:rsidR="00E24EBD">
        <w:rPr>
          <w:lang w:val="fr-CA"/>
        </w:rPr>
        <w:t>’</w:t>
      </w:r>
      <w:r w:rsidR="00F51641" w:rsidRPr="00F51641">
        <w:rPr>
          <w:lang w:val="fr-CA"/>
        </w:rPr>
        <w:t>erreur nominale est de 10</w:t>
      </w:r>
      <w:r w:rsidR="00104E86">
        <w:rPr>
          <w:lang w:val="fr-CA"/>
        </w:rPr>
        <w:t> m/s</w:t>
      </w:r>
      <w:r w:rsidR="00F51641" w:rsidRPr="00F51641">
        <w:rPr>
          <w:lang w:val="fr-CA"/>
        </w:rPr>
        <w:t xml:space="preserve"> pour le vent et de 25 K pour la températur</w:t>
      </w:r>
      <w:r w:rsidR="00104E86">
        <w:rPr>
          <w:lang w:val="fr-CA"/>
        </w:rPr>
        <w:t>e.</w:t>
      </w:r>
    </w:p>
    <w:p w:rsidR="00F33104" w:rsidRPr="00CD3C74" w:rsidRDefault="00F33104">
      <w:pPr>
        <w:rPr>
          <w:lang w:val="fr-CA"/>
        </w:rPr>
      </w:pPr>
    </w:p>
    <w:p w:rsidR="00F33104" w:rsidRPr="00CD3C74" w:rsidRDefault="00F51641">
      <w:pPr>
        <w:rPr>
          <w:lang w:val="fr-CA"/>
        </w:rPr>
      </w:pPr>
      <w:r w:rsidRPr="00F51641">
        <w:rPr>
          <w:b/>
          <w:bCs/>
          <w:lang w:val="fr-CA"/>
        </w:rPr>
        <w:t>Présentation du traitement des données</w:t>
      </w:r>
    </w:p>
    <w:p w:rsidR="00F33104" w:rsidRPr="00CD3C74" w:rsidRDefault="00F33104">
      <w:pPr>
        <w:rPr>
          <w:lang w:val="fr-CA"/>
        </w:rPr>
      </w:pPr>
    </w:p>
    <w:p w:rsidR="00F51641" w:rsidRPr="00F51641" w:rsidRDefault="00F33104" w:rsidP="00F51641">
      <w:pPr>
        <w:jc w:val="both"/>
        <w:rPr>
          <w:lang w:val="fr-CA"/>
        </w:rPr>
      </w:pPr>
      <w:r w:rsidRPr="00CD3C74">
        <w:rPr>
          <w:lang w:val="fr-CA"/>
        </w:rPr>
        <w:tab/>
      </w:r>
      <w:r w:rsidR="00F51641" w:rsidRPr="00F51641">
        <w:rPr>
          <w:lang w:val="fr-CA"/>
        </w:rPr>
        <w:t>L</w:t>
      </w:r>
      <w:r w:rsidR="00104E86">
        <w:rPr>
          <w:lang w:val="fr-CA"/>
        </w:rPr>
        <w:t>es données de</w:t>
      </w:r>
      <w:r w:rsidR="00F51641" w:rsidRPr="00F51641">
        <w:rPr>
          <w:lang w:val="fr-CA"/>
        </w:rPr>
        <w:t xml:space="preserve"> </w:t>
      </w:r>
      <w:r w:rsidR="00104E86">
        <w:rPr>
          <w:lang w:val="fr-CA"/>
        </w:rPr>
        <w:t>télémesure</w:t>
      </w:r>
      <w:r w:rsidR="00F51641" w:rsidRPr="00F51641">
        <w:rPr>
          <w:lang w:val="fr-CA"/>
        </w:rPr>
        <w:t xml:space="preserve"> brute </w:t>
      </w:r>
      <w:r w:rsidR="00B055A8">
        <w:rPr>
          <w:lang w:val="fr-CA"/>
        </w:rPr>
        <w:t xml:space="preserve">couvrant </w:t>
      </w:r>
      <w:r w:rsidR="00F51641" w:rsidRPr="00F51641">
        <w:rPr>
          <w:lang w:val="fr-CA"/>
        </w:rPr>
        <w:t xml:space="preserve">24 heures </w:t>
      </w:r>
      <w:r w:rsidR="00C82DF4">
        <w:rPr>
          <w:lang w:val="fr-CA"/>
        </w:rPr>
        <w:t>étai</w:t>
      </w:r>
      <w:r w:rsidR="00AC43A7">
        <w:rPr>
          <w:lang w:val="fr-CA"/>
        </w:rPr>
        <w:t>ent</w:t>
      </w:r>
      <w:r w:rsidR="00F51641" w:rsidRPr="00F51641">
        <w:rPr>
          <w:lang w:val="fr-CA"/>
        </w:rPr>
        <w:t xml:space="preserve"> traitée</w:t>
      </w:r>
      <w:r w:rsidR="00B055A8">
        <w:rPr>
          <w:lang w:val="fr-CA"/>
        </w:rPr>
        <w:t>s</w:t>
      </w:r>
      <w:r w:rsidR="00F51641" w:rsidRPr="00F51641">
        <w:rPr>
          <w:lang w:val="fr-CA"/>
        </w:rPr>
        <w:t xml:space="preserve"> du niveau 0 à 1 en utilisant les données de </w:t>
      </w:r>
      <w:r w:rsidR="00B055A8">
        <w:rPr>
          <w:lang w:val="fr-CA"/>
        </w:rPr>
        <w:t xml:space="preserve">la </w:t>
      </w:r>
      <w:r w:rsidR="00F51641" w:rsidRPr="00F51641">
        <w:rPr>
          <w:lang w:val="fr-CA"/>
        </w:rPr>
        <w:t xml:space="preserve">CDB et de </w:t>
      </w:r>
      <w:proofErr w:type="spellStart"/>
      <w:r w:rsidR="00F51641" w:rsidRPr="00F51641">
        <w:rPr>
          <w:lang w:val="fr-CA"/>
        </w:rPr>
        <w:t>géoréférencement</w:t>
      </w:r>
      <w:proofErr w:type="spellEnd"/>
      <w:r w:rsidR="00F51641" w:rsidRPr="00F51641">
        <w:rPr>
          <w:lang w:val="fr-CA"/>
        </w:rPr>
        <w:t xml:space="preserve"> fournies par UARS. Les produits de données finaux au</w:t>
      </w:r>
      <w:r w:rsidR="00B055A8">
        <w:rPr>
          <w:lang w:val="fr-CA"/>
        </w:rPr>
        <w:t>x</w:t>
      </w:r>
      <w:r w:rsidR="00F51641" w:rsidRPr="00F51641">
        <w:rPr>
          <w:lang w:val="fr-CA"/>
        </w:rPr>
        <w:t xml:space="preserve"> niveau</w:t>
      </w:r>
      <w:r w:rsidR="00B055A8">
        <w:rPr>
          <w:lang w:val="fr-CA"/>
        </w:rPr>
        <w:t>x</w:t>
      </w:r>
      <w:r w:rsidR="00F51641" w:rsidRPr="00F51641">
        <w:rPr>
          <w:lang w:val="fr-CA"/>
        </w:rPr>
        <w:t xml:space="preserve"> 1 et 2 </w:t>
      </w:r>
      <w:r w:rsidR="00C82DF4">
        <w:rPr>
          <w:lang w:val="fr-CA"/>
        </w:rPr>
        <w:t>étaient</w:t>
      </w:r>
      <w:r w:rsidR="00B055A8">
        <w:rPr>
          <w:lang w:val="fr-CA"/>
        </w:rPr>
        <w:t xml:space="preserve"> </w:t>
      </w:r>
      <w:r w:rsidR="00F51641" w:rsidRPr="00F51641">
        <w:rPr>
          <w:lang w:val="fr-CA"/>
        </w:rPr>
        <w:t xml:space="preserve">créés et stockés pour chaque bloc de 24 heures de </w:t>
      </w:r>
      <w:r w:rsidR="00104E86">
        <w:rPr>
          <w:lang w:val="fr-CA"/>
        </w:rPr>
        <w:t>télémesure</w:t>
      </w:r>
      <w:r w:rsidR="00F51641" w:rsidRPr="00F51641">
        <w:rPr>
          <w:lang w:val="fr-CA"/>
        </w:rPr>
        <w:t xml:space="preserve"> brute. La granularité des données pour les données WINDII est </w:t>
      </w:r>
      <w:r w:rsidR="00B055A8">
        <w:rPr>
          <w:lang w:val="fr-CA"/>
        </w:rPr>
        <w:t xml:space="preserve">de </w:t>
      </w:r>
      <w:r w:rsidR="00F51641" w:rsidRPr="00F51641">
        <w:rPr>
          <w:lang w:val="fr-CA"/>
        </w:rPr>
        <w:t xml:space="preserve">un jour. Tous les algorithmes utilisés pour traiter les données sont définis en détail dans divers documents de conception de logiciel, mais ils ne sont pas nécessaires pour comprendre les données WINDII. Les algorithmes </w:t>
      </w:r>
      <w:r w:rsidR="00C82DF4">
        <w:rPr>
          <w:lang w:val="fr-CA"/>
        </w:rPr>
        <w:t>étaient</w:t>
      </w:r>
      <w:r w:rsidR="00B055A8">
        <w:rPr>
          <w:lang w:val="fr-CA"/>
        </w:rPr>
        <w:t xml:space="preserve"> configurés</w:t>
      </w:r>
      <w:r w:rsidR="00F51641" w:rsidRPr="00F51641">
        <w:rPr>
          <w:lang w:val="fr-CA"/>
        </w:rPr>
        <w:t xml:space="preserve"> pour </w:t>
      </w:r>
      <w:r w:rsidR="00B055A8">
        <w:rPr>
          <w:lang w:val="fr-CA"/>
        </w:rPr>
        <w:t xml:space="preserve">traiter </w:t>
      </w:r>
      <w:r w:rsidR="00F51641" w:rsidRPr="00F51641">
        <w:rPr>
          <w:lang w:val="fr-CA"/>
        </w:rPr>
        <w:t xml:space="preserve">des mesures </w:t>
      </w:r>
      <w:r w:rsidR="00B055A8">
        <w:rPr>
          <w:lang w:val="fr-CA"/>
        </w:rPr>
        <w:t>séquentielles</w:t>
      </w:r>
      <w:r w:rsidR="00F51641" w:rsidRPr="00F51641">
        <w:rPr>
          <w:lang w:val="fr-CA"/>
        </w:rPr>
        <w:t>. Une mesure atmosphérique était composée d</w:t>
      </w:r>
      <w:r w:rsidR="00E24EBD">
        <w:rPr>
          <w:lang w:val="fr-CA"/>
        </w:rPr>
        <w:t>’</w:t>
      </w:r>
      <w:r w:rsidR="00F51641" w:rsidRPr="00F51641">
        <w:rPr>
          <w:lang w:val="fr-CA"/>
        </w:rPr>
        <w:t>une image de fond et de 4 (</w:t>
      </w:r>
      <w:r w:rsidR="00DB3F3C">
        <w:rPr>
          <w:lang w:val="fr-CA"/>
        </w:rPr>
        <w:t>pas de phase de</w:t>
      </w:r>
      <w:r w:rsidR="00F51641" w:rsidRPr="00F51641">
        <w:rPr>
          <w:lang w:val="fr-CA"/>
        </w:rPr>
        <w:t xml:space="preserve"> 90</w:t>
      </w:r>
      <w:r w:rsidR="00B055A8">
        <w:rPr>
          <w:lang w:val="fr-CA"/>
        </w:rPr>
        <w:t> degrés</w:t>
      </w:r>
      <w:r w:rsidR="00F51641" w:rsidRPr="00F51641">
        <w:rPr>
          <w:lang w:val="fr-CA"/>
        </w:rPr>
        <w:t>), 8 (</w:t>
      </w:r>
      <w:r w:rsidR="00DB3F3C">
        <w:rPr>
          <w:lang w:val="fr-CA"/>
        </w:rPr>
        <w:t>pas de</w:t>
      </w:r>
      <w:r w:rsidR="00F51641" w:rsidRPr="00F51641">
        <w:rPr>
          <w:lang w:val="fr-CA"/>
        </w:rPr>
        <w:t xml:space="preserve"> 45</w:t>
      </w:r>
      <w:r w:rsidR="00B055A8">
        <w:rPr>
          <w:lang w:val="fr-CA"/>
        </w:rPr>
        <w:t> degrés</w:t>
      </w:r>
      <w:r w:rsidR="00F51641" w:rsidRPr="00F51641">
        <w:rPr>
          <w:lang w:val="fr-CA"/>
        </w:rPr>
        <w:t>) ou 2 * 4 (</w:t>
      </w:r>
      <w:r w:rsidR="00DB3F3C">
        <w:rPr>
          <w:lang w:val="fr-CA"/>
        </w:rPr>
        <w:t>pas de</w:t>
      </w:r>
      <w:r w:rsidR="00F51641" w:rsidRPr="00F51641">
        <w:rPr>
          <w:lang w:val="fr-CA"/>
        </w:rPr>
        <w:t xml:space="preserve"> 90</w:t>
      </w:r>
      <w:r w:rsidR="00B055A8">
        <w:rPr>
          <w:lang w:val="fr-CA"/>
        </w:rPr>
        <w:t> degrés</w:t>
      </w:r>
      <w:r w:rsidR="00F51641" w:rsidRPr="00F51641">
        <w:rPr>
          <w:lang w:val="fr-CA"/>
        </w:rPr>
        <w:t xml:space="preserve"> pour chaque groupe de 4 images) images de phase. Une mesure d</w:t>
      </w:r>
      <w:r w:rsidR="00E24EBD">
        <w:rPr>
          <w:lang w:val="fr-CA"/>
        </w:rPr>
        <w:t>’</w:t>
      </w:r>
      <w:r w:rsidR="00F51641" w:rsidRPr="00F51641">
        <w:rPr>
          <w:lang w:val="fr-CA"/>
        </w:rPr>
        <w:t xml:space="preserve">image </w:t>
      </w:r>
      <w:r w:rsidR="00DB3F3C">
        <w:rPr>
          <w:lang w:val="fr-CA"/>
        </w:rPr>
        <w:t xml:space="preserve">de </w:t>
      </w:r>
      <w:r w:rsidR="00F51641" w:rsidRPr="00F51641">
        <w:rPr>
          <w:lang w:val="fr-CA"/>
        </w:rPr>
        <w:t>2 * 4</w:t>
      </w:r>
      <w:r w:rsidR="00DB3F3C">
        <w:rPr>
          <w:lang w:val="fr-CA"/>
        </w:rPr>
        <w:t xml:space="preserve"> phases </w:t>
      </w:r>
      <w:r w:rsidR="00F51641" w:rsidRPr="00F51641">
        <w:rPr>
          <w:lang w:val="fr-CA"/>
        </w:rPr>
        <w:t xml:space="preserve">est appelée </w:t>
      </w:r>
      <w:r w:rsidR="00DB3F3C">
        <w:rPr>
          <w:lang w:val="fr-CA"/>
        </w:rPr>
        <w:t xml:space="preserve">« </w:t>
      </w:r>
      <w:r w:rsidR="00F51641" w:rsidRPr="00F51641">
        <w:rPr>
          <w:lang w:val="fr-CA"/>
        </w:rPr>
        <w:t>mesure répétée</w:t>
      </w:r>
      <w:r w:rsidR="00DB3F3C">
        <w:rPr>
          <w:lang w:val="fr-CA"/>
        </w:rPr>
        <w:t> »</w:t>
      </w:r>
      <w:r w:rsidR="00F51641" w:rsidRPr="00F51641">
        <w:rPr>
          <w:lang w:val="fr-CA"/>
        </w:rPr>
        <w:t>. Des mesures d</w:t>
      </w:r>
      <w:r w:rsidR="00E24EBD">
        <w:rPr>
          <w:lang w:val="fr-CA"/>
        </w:rPr>
        <w:t>’</w:t>
      </w:r>
      <w:r w:rsidR="00F51641" w:rsidRPr="00F51641">
        <w:rPr>
          <w:lang w:val="fr-CA"/>
        </w:rPr>
        <w:t>étalonnage fréquent ont également été traitées et utilisées avec les mesures atmosphériques correspondantes. Une mesure d</w:t>
      </w:r>
      <w:r w:rsidR="00E24EBD">
        <w:rPr>
          <w:lang w:val="fr-CA"/>
        </w:rPr>
        <w:t>’</w:t>
      </w:r>
      <w:r w:rsidR="00F51641" w:rsidRPr="00F51641">
        <w:rPr>
          <w:lang w:val="fr-CA"/>
        </w:rPr>
        <w:t xml:space="preserve">étalonnage fréquent comprenait une image de courant </w:t>
      </w:r>
      <w:r w:rsidR="00DB3F3C">
        <w:rPr>
          <w:lang w:val="fr-CA"/>
        </w:rPr>
        <w:t>d’obscurité</w:t>
      </w:r>
      <w:r w:rsidR="00F51641" w:rsidRPr="00F51641">
        <w:rPr>
          <w:lang w:val="fr-CA"/>
        </w:rPr>
        <w:t xml:space="preserve"> et 4 images de phase d</w:t>
      </w:r>
      <w:r w:rsidR="00E24EBD">
        <w:rPr>
          <w:lang w:val="fr-CA"/>
        </w:rPr>
        <w:t>’</w:t>
      </w:r>
      <w:r w:rsidR="00F51641" w:rsidRPr="00F51641">
        <w:rPr>
          <w:lang w:val="fr-CA"/>
        </w:rPr>
        <w:t>une des lampes d</w:t>
      </w:r>
      <w:r w:rsidR="00E24EBD">
        <w:rPr>
          <w:lang w:val="fr-CA"/>
        </w:rPr>
        <w:t>’</w:t>
      </w:r>
      <w:r w:rsidR="00F51641" w:rsidRPr="00F51641">
        <w:rPr>
          <w:lang w:val="fr-CA"/>
        </w:rPr>
        <w:t>étalonnage embarquées.</w:t>
      </w:r>
    </w:p>
    <w:p w:rsidR="00F51641" w:rsidRPr="00F51641" w:rsidRDefault="00F51641" w:rsidP="00F51641">
      <w:pPr>
        <w:jc w:val="both"/>
        <w:rPr>
          <w:lang w:val="fr-CA"/>
        </w:rPr>
      </w:pPr>
    </w:p>
    <w:p w:rsidR="00F33104" w:rsidRPr="00CD3C74" w:rsidRDefault="00F51641" w:rsidP="00F51641">
      <w:pPr>
        <w:jc w:val="both"/>
        <w:rPr>
          <w:lang w:val="fr-CA"/>
        </w:rPr>
      </w:pPr>
      <w:r w:rsidRPr="00F51641">
        <w:rPr>
          <w:lang w:val="fr-CA"/>
        </w:rPr>
        <w:t>Le traitement des données est divisé en trois tâches principales. L</w:t>
      </w:r>
      <w:r w:rsidR="00DB3F3C">
        <w:rPr>
          <w:lang w:val="fr-CA"/>
        </w:rPr>
        <w:t>a première tâche consiste en une lecture d</w:t>
      </w:r>
      <w:r w:rsidRPr="00F51641">
        <w:rPr>
          <w:lang w:val="fr-CA"/>
        </w:rPr>
        <w:t xml:space="preserve">es fichiers de </w:t>
      </w:r>
      <w:r w:rsidR="00104E86">
        <w:rPr>
          <w:lang w:val="fr-CA"/>
        </w:rPr>
        <w:t>télémesure</w:t>
      </w:r>
      <w:r w:rsidRPr="00F51641">
        <w:rPr>
          <w:lang w:val="fr-CA"/>
        </w:rPr>
        <w:t xml:space="preserve"> bruts ou </w:t>
      </w:r>
      <w:r w:rsidR="00DB3F3C">
        <w:rPr>
          <w:lang w:val="fr-CA"/>
        </w:rPr>
        <w:t>d</w:t>
      </w:r>
      <w:r w:rsidRPr="00F51641">
        <w:rPr>
          <w:lang w:val="fr-CA"/>
        </w:rPr>
        <w:t xml:space="preserve">es données de niveau 0 et </w:t>
      </w:r>
      <w:r w:rsidR="00DB3F3C">
        <w:rPr>
          <w:lang w:val="fr-CA"/>
        </w:rPr>
        <w:t>une interprétation de</w:t>
      </w:r>
      <w:r w:rsidRPr="00F51641">
        <w:rPr>
          <w:lang w:val="fr-CA"/>
        </w:rPr>
        <w:t xml:space="preserve">s en-têtes des paquets de données. Les mesures sont séparées en fonction de la </w:t>
      </w:r>
      <w:r w:rsidR="00060F50">
        <w:rPr>
          <w:lang w:val="fr-CA"/>
        </w:rPr>
        <w:t>raie</w:t>
      </w:r>
      <w:r w:rsidRPr="00F51641">
        <w:rPr>
          <w:lang w:val="fr-CA"/>
        </w:rPr>
        <w:t xml:space="preserve"> atmosphérique observée et sauvegardées dans des fichiers intermédiaires. Ensuite, les données d</w:t>
      </w:r>
      <w:r w:rsidR="00E24EBD">
        <w:rPr>
          <w:lang w:val="fr-CA"/>
        </w:rPr>
        <w:t>’</w:t>
      </w:r>
      <w:r w:rsidRPr="00F51641">
        <w:rPr>
          <w:lang w:val="fr-CA"/>
        </w:rPr>
        <w:t>étalonnage de l</w:t>
      </w:r>
      <w:r w:rsidR="00E24EBD">
        <w:rPr>
          <w:lang w:val="fr-CA"/>
        </w:rPr>
        <w:t>’</w:t>
      </w:r>
      <w:r w:rsidRPr="00F51641">
        <w:rPr>
          <w:lang w:val="fr-CA"/>
        </w:rPr>
        <w:t>instrument sont utilisées pour soustraire le courant d</w:t>
      </w:r>
      <w:r w:rsidR="00E24EBD">
        <w:rPr>
          <w:lang w:val="fr-CA"/>
        </w:rPr>
        <w:t>’</w:t>
      </w:r>
      <w:r w:rsidRPr="00F51641">
        <w:rPr>
          <w:lang w:val="fr-CA"/>
        </w:rPr>
        <w:t xml:space="preserve">obscurité et convertir le taux de comptage par cellule </w:t>
      </w:r>
      <w:r w:rsidR="00DB3F3C">
        <w:rPr>
          <w:lang w:val="fr-CA"/>
        </w:rPr>
        <w:t>en</w:t>
      </w:r>
      <w:r w:rsidRPr="00F51641">
        <w:rPr>
          <w:lang w:val="fr-CA"/>
        </w:rPr>
        <w:t xml:space="preserve"> une intensité </w:t>
      </w:r>
      <w:r w:rsidR="00DB3F3C">
        <w:rPr>
          <w:lang w:val="fr-CA"/>
        </w:rPr>
        <w:t>correspondant à l’axe de vis</w:t>
      </w:r>
      <w:r w:rsidR="00D150C4">
        <w:rPr>
          <w:lang w:val="fr-CA"/>
        </w:rPr>
        <w:t>é</w:t>
      </w:r>
      <w:r w:rsidR="00DB3F3C">
        <w:rPr>
          <w:lang w:val="fr-CA"/>
        </w:rPr>
        <w:t>e</w:t>
      </w:r>
      <w:r w:rsidRPr="00F51641">
        <w:rPr>
          <w:lang w:val="fr-CA"/>
        </w:rPr>
        <w:t xml:space="preserve"> </w:t>
      </w:r>
      <w:r w:rsidR="00DB3F3C">
        <w:rPr>
          <w:lang w:val="fr-CA"/>
        </w:rPr>
        <w:t xml:space="preserve">mesuré en amplitudes de </w:t>
      </w:r>
      <w:r w:rsidRPr="00F51641">
        <w:rPr>
          <w:lang w:val="fr-CA"/>
        </w:rPr>
        <w:t>Rayleigh. Une fois les corrections effectuées</w:t>
      </w:r>
      <w:r w:rsidR="00D150C4">
        <w:rPr>
          <w:lang w:val="fr-CA"/>
        </w:rPr>
        <w:t xml:space="preserve"> pour les instruments</w:t>
      </w:r>
      <w:r w:rsidRPr="00F51641">
        <w:rPr>
          <w:lang w:val="fr-CA"/>
        </w:rPr>
        <w:t>, les effets dus à l</w:t>
      </w:r>
      <w:r w:rsidR="00E24EBD">
        <w:rPr>
          <w:lang w:val="fr-CA"/>
        </w:rPr>
        <w:t>’</w:t>
      </w:r>
      <w:r w:rsidRPr="00F51641">
        <w:rPr>
          <w:lang w:val="fr-CA"/>
        </w:rPr>
        <w:t>engin spatial UARS sont déterminés. Les données d</w:t>
      </w:r>
      <w:r w:rsidR="00E24EBD">
        <w:rPr>
          <w:lang w:val="fr-CA"/>
        </w:rPr>
        <w:t>’</w:t>
      </w:r>
      <w:r w:rsidRPr="00F51641">
        <w:rPr>
          <w:lang w:val="fr-CA"/>
        </w:rPr>
        <w:t>attitude orbit</w:t>
      </w:r>
      <w:r w:rsidR="00D150C4">
        <w:rPr>
          <w:lang w:val="fr-CA"/>
        </w:rPr>
        <w:t>al</w:t>
      </w:r>
      <w:r w:rsidRPr="00F51641">
        <w:rPr>
          <w:lang w:val="fr-CA"/>
        </w:rPr>
        <w:t>e sont utilisées pour calculer l</w:t>
      </w:r>
      <w:r w:rsidR="00E24EBD">
        <w:rPr>
          <w:lang w:val="fr-CA"/>
        </w:rPr>
        <w:t>’</w:t>
      </w:r>
      <w:r w:rsidRPr="00F51641">
        <w:rPr>
          <w:lang w:val="fr-CA"/>
        </w:rPr>
        <w:t xml:space="preserve">emplacement du point tangent pour chaque </w:t>
      </w:r>
      <w:r w:rsidR="00D150C4">
        <w:rPr>
          <w:lang w:val="fr-CA"/>
        </w:rPr>
        <w:t>axe</w:t>
      </w:r>
      <w:r w:rsidRPr="00F51641">
        <w:rPr>
          <w:lang w:val="fr-CA"/>
        </w:rPr>
        <w:t xml:space="preserve"> de visée pour chaque cellule de mesure. Les mesures de phase fréquentes sont également traitées </w:t>
      </w:r>
      <w:r w:rsidR="00D150C4">
        <w:rPr>
          <w:lang w:val="fr-CA"/>
        </w:rPr>
        <w:t xml:space="preserve">pendant </w:t>
      </w:r>
      <w:r w:rsidRPr="00F51641">
        <w:rPr>
          <w:lang w:val="fr-CA"/>
        </w:rPr>
        <w:t>la première étape du travail. Les données de niveau 1, cataloguées à la fin de la tâche 1, contiennent les données d</w:t>
      </w:r>
      <w:r w:rsidR="00E24EBD">
        <w:rPr>
          <w:lang w:val="fr-CA"/>
        </w:rPr>
        <w:t>’</w:t>
      </w:r>
      <w:r w:rsidRPr="00F51641">
        <w:rPr>
          <w:lang w:val="fr-CA"/>
        </w:rPr>
        <w:t xml:space="preserve">image </w:t>
      </w:r>
      <w:r w:rsidR="00D150C4">
        <w:rPr>
          <w:lang w:val="fr-CA"/>
        </w:rPr>
        <w:t>étalonnées</w:t>
      </w:r>
      <w:r w:rsidRPr="00F51641">
        <w:rPr>
          <w:lang w:val="fr-CA"/>
        </w:rPr>
        <w:t xml:space="preserve"> et les données de géoréférencement. Ces données sont entrées </w:t>
      </w:r>
      <w:r w:rsidR="00D150C4">
        <w:rPr>
          <w:lang w:val="fr-CA"/>
        </w:rPr>
        <w:t xml:space="preserve">pendant </w:t>
      </w:r>
      <w:r w:rsidRPr="00F51641">
        <w:rPr>
          <w:lang w:val="fr-CA"/>
        </w:rPr>
        <w:t>l</w:t>
      </w:r>
      <w:r w:rsidR="00E24EBD">
        <w:rPr>
          <w:lang w:val="fr-CA"/>
        </w:rPr>
        <w:t>’</w:t>
      </w:r>
      <w:r w:rsidRPr="00F51641">
        <w:rPr>
          <w:lang w:val="fr-CA"/>
        </w:rPr>
        <w:t>étape 2 du tra</w:t>
      </w:r>
      <w:r w:rsidR="00D150C4">
        <w:rPr>
          <w:lang w:val="fr-CA"/>
        </w:rPr>
        <w:t>itement</w:t>
      </w:r>
      <w:r w:rsidRPr="00F51641">
        <w:rPr>
          <w:lang w:val="fr-CA"/>
        </w:rPr>
        <w:t>.</w:t>
      </w:r>
    </w:p>
    <w:p w:rsidR="00F33104" w:rsidRPr="00CD3C74" w:rsidRDefault="00F33104">
      <w:pPr>
        <w:rPr>
          <w:lang w:val="fr-CA"/>
        </w:rPr>
      </w:pPr>
    </w:p>
    <w:p w:rsidR="00F51641" w:rsidRPr="00F51641" w:rsidRDefault="00F33104" w:rsidP="00F51641">
      <w:pPr>
        <w:jc w:val="both"/>
        <w:rPr>
          <w:lang w:val="fr-CA"/>
        </w:rPr>
      </w:pPr>
      <w:r w:rsidRPr="00CD3C74">
        <w:rPr>
          <w:lang w:val="fr-CA"/>
        </w:rPr>
        <w:tab/>
      </w:r>
      <w:r w:rsidR="00F51641" w:rsidRPr="00F51641">
        <w:rPr>
          <w:lang w:val="fr-CA"/>
        </w:rPr>
        <w:t xml:space="preserve">WINDII </w:t>
      </w:r>
      <w:r w:rsidR="002D156A">
        <w:rPr>
          <w:lang w:val="fr-CA"/>
        </w:rPr>
        <w:t xml:space="preserve">regardait </w:t>
      </w:r>
      <w:r w:rsidR="00F51641" w:rsidRPr="00F51641">
        <w:rPr>
          <w:lang w:val="fr-CA"/>
        </w:rPr>
        <w:t xml:space="preserve">le limbe de </w:t>
      </w:r>
      <w:r w:rsidR="002D156A">
        <w:rPr>
          <w:lang w:val="fr-CA"/>
        </w:rPr>
        <w:t>luminescence atmosphérique, ce qui fait que</w:t>
      </w:r>
      <w:r w:rsidR="00F51641" w:rsidRPr="00F51641">
        <w:rPr>
          <w:lang w:val="fr-CA"/>
        </w:rPr>
        <w:t xml:space="preserve"> l</w:t>
      </w:r>
      <w:r w:rsidR="00E24EBD">
        <w:rPr>
          <w:lang w:val="fr-CA"/>
        </w:rPr>
        <w:t>’</w:t>
      </w:r>
      <w:r w:rsidR="00F51641" w:rsidRPr="00F51641">
        <w:rPr>
          <w:lang w:val="fr-CA"/>
        </w:rPr>
        <w:t xml:space="preserve">intensité mesurée dans chaque </w:t>
      </w:r>
      <w:r w:rsidR="002D156A">
        <w:rPr>
          <w:lang w:val="fr-CA"/>
        </w:rPr>
        <w:t>cellule</w:t>
      </w:r>
      <w:r w:rsidR="00F51641" w:rsidRPr="00F51641">
        <w:rPr>
          <w:lang w:val="fr-CA"/>
        </w:rPr>
        <w:t xml:space="preserve"> était l</w:t>
      </w:r>
      <w:r w:rsidR="00E24EBD">
        <w:rPr>
          <w:lang w:val="fr-CA"/>
        </w:rPr>
        <w:t>’</w:t>
      </w:r>
      <w:r w:rsidR="00F51641" w:rsidRPr="00F51641">
        <w:rPr>
          <w:lang w:val="fr-CA"/>
        </w:rPr>
        <w:t>intégrale du taux d</w:t>
      </w:r>
      <w:r w:rsidR="00E24EBD">
        <w:rPr>
          <w:lang w:val="fr-CA"/>
        </w:rPr>
        <w:t>’</w:t>
      </w:r>
      <w:r w:rsidR="002D156A">
        <w:rPr>
          <w:lang w:val="fr-CA"/>
        </w:rPr>
        <w:t>émission volumique</w:t>
      </w:r>
      <w:r w:rsidR="00F51641" w:rsidRPr="00F51641">
        <w:rPr>
          <w:lang w:val="fr-CA"/>
        </w:rPr>
        <w:t xml:space="preserve"> </w:t>
      </w:r>
      <w:r w:rsidR="002D156A">
        <w:rPr>
          <w:lang w:val="fr-CA"/>
        </w:rPr>
        <w:t>sur</w:t>
      </w:r>
      <w:r w:rsidR="002D156A" w:rsidRPr="00F51641">
        <w:rPr>
          <w:lang w:val="fr-CA"/>
        </w:rPr>
        <w:t xml:space="preserve"> </w:t>
      </w:r>
      <w:r w:rsidR="002D156A">
        <w:rPr>
          <w:lang w:val="fr-CA"/>
        </w:rPr>
        <w:t>l’axe de visée</w:t>
      </w:r>
      <w:r w:rsidR="002D156A" w:rsidRPr="00F51641">
        <w:rPr>
          <w:lang w:val="fr-CA"/>
        </w:rPr>
        <w:t xml:space="preserve"> </w:t>
      </w:r>
      <w:r w:rsidR="00F51641" w:rsidRPr="00F51641">
        <w:rPr>
          <w:lang w:val="fr-CA"/>
        </w:rPr>
        <w:t>modifié</w:t>
      </w:r>
      <w:r w:rsidR="002D156A">
        <w:rPr>
          <w:lang w:val="fr-CA"/>
        </w:rPr>
        <w:t>e</w:t>
      </w:r>
      <w:r w:rsidR="00F51641" w:rsidRPr="00F51641">
        <w:rPr>
          <w:lang w:val="fr-CA"/>
        </w:rPr>
        <w:t xml:space="preserve"> par l</w:t>
      </w:r>
      <w:r w:rsidR="00E24EBD">
        <w:rPr>
          <w:lang w:val="fr-CA"/>
        </w:rPr>
        <w:t>’</w:t>
      </w:r>
      <w:proofErr w:type="spellStart"/>
      <w:r w:rsidR="00F51641" w:rsidRPr="00F51641">
        <w:rPr>
          <w:lang w:val="fr-CA"/>
        </w:rPr>
        <w:t>interférogramme</w:t>
      </w:r>
      <w:proofErr w:type="spellEnd"/>
      <w:r w:rsidR="00F51641" w:rsidRPr="00F51641">
        <w:rPr>
          <w:lang w:val="fr-CA"/>
        </w:rPr>
        <w:t xml:space="preserve"> de Michelson. Dans la deuxième étape du travail, les intensités </w:t>
      </w:r>
      <w:r w:rsidR="002D156A">
        <w:rPr>
          <w:lang w:val="fr-CA"/>
        </w:rPr>
        <w:t>dans l</w:t>
      </w:r>
      <w:r w:rsidR="00AC43A7">
        <w:rPr>
          <w:lang w:val="fr-CA"/>
        </w:rPr>
        <w:t>es</w:t>
      </w:r>
      <w:r w:rsidR="002D156A">
        <w:rPr>
          <w:lang w:val="fr-CA"/>
        </w:rPr>
        <w:t xml:space="preserve"> cellule</w:t>
      </w:r>
      <w:r w:rsidR="00AC43A7">
        <w:rPr>
          <w:lang w:val="fr-CA"/>
        </w:rPr>
        <w:t xml:space="preserve">s </w:t>
      </w:r>
      <w:r w:rsidR="002D156A">
        <w:rPr>
          <w:lang w:val="fr-CA"/>
        </w:rPr>
        <w:t xml:space="preserve">de </w:t>
      </w:r>
      <w:r w:rsidR="00F51641" w:rsidRPr="00F51641">
        <w:rPr>
          <w:lang w:val="fr-CA"/>
        </w:rPr>
        <w:t xml:space="preserve">niveau 1 pour chacun des </w:t>
      </w:r>
      <w:r w:rsidR="00DB3F3C">
        <w:rPr>
          <w:lang w:val="fr-CA"/>
        </w:rPr>
        <w:t>pas de</w:t>
      </w:r>
      <w:r w:rsidR="00F51641" w:rsidRPr="00F51641">
        <w:rPr>
          <w:lang w:val="fr-CA"/>
        </w:rPr>
        <w:t xml:space="preserve"> 4 ou 8 phases </w:t>
      </w:r>
      <w:r w:rsidR="002D156A">
        <w:rPr>
          <w:lang w:val="fr-CA"/>
        </w:rPr>
        <w:t xml:space="preserve">étaient </w:t>
      </w:r>
      <w:r w:rsidR="00F51641" w:rsidRPr="00F51641">
        <w:rPr>
          <w:lang w:val="fr-CA"/>
        </w:rPr>
        <w:t>utilisées pour calculer ce que l</w:t>
      </w:r>
      <w:r w:rsidR="00E24EBD">
        <w:rPr>
          <w:lang w:val="fr-CA"/>
        </w:rPr>
        <w:t>’</w:t>
      </w:r>
      <w:r w:rsidR="00F51641" w:rsidRPr="00F51641">
        <w:rPr>
          <w:lang w:val="fr-CA"/>
        </w:rPr>
        <w:t xml:space="preserve">on appelle des </w:t>
      </w:r>
      <w:r w:rsidR="00DB3F3C">
        <w:rPr>
          <w:lang w:val="fr-CA"/>
        </w:rPr>
        <w:t>«</w:t>
      </w:r>
      <w:r w:rsidR="002D156A">
        <w:rPr>
          <w:lang w:val="fr-CA"/>
        </w:rPr>
        <w:t> </w:t>
      </w:r>
      <w:r w:rsidR="00F51641" w:rsidRPr="00F51641">
        <w:rPr>
          <w:lang w:val="fr-CA"/>
        </w:rPr>
        <w:t>quantités apparentes</w:t>
      </w:r>
      <w:r w:rsidR="002D156A">
        <w:rPr>
          <w:lang w:val="fr-CA"/>
        </w:rPr>
        <w:t> </w:t>
      </w:r>
      <w:r w:rsidR="00DB3F3C">
        <w:rPr>
          <w:lang w:val="fr-CA"/>
        </w:rPr>
        <w:t>»</w:t>
      </w:r>
      <w:r w:rsidR="002D156A">
        <w:rPr>
          <w:lang w:val="fr-CA"/>
        </w:rPr>
        <w:t>.</w:t>
      </w:r>
      <w:r w:rsidR="00F51641" w:rsidRPr="00F51641">
        <w:rPr>
          <w:lang w:val="fr-CA"/>
        </w:rPr>
        <w:t xml:space="preserve"> Ce</w:t>
      </w:r>
      <w:r w:rsidR="002D156A">
        <w:rPr>
          <w:lang w:val="fr-CA"/>
        </w:rPr>
        <w:t>lles</w:t>
      </w:r>
      <w:r w:rsidR="00F51641" w:rsidRPr="00F51641">
        <w:rPr>
          <w:lang w:val="fr-CA"/>
        </w:rPr>
        <w:t>-ci contiennent l</w:t>
      </w:r>
      <w:r w:rsidR="00E24EBD">
        <w:rPr>
          <w:lang w:val="fr-CA"/>
        </w:rPr>
        <w:t>’</w:t>
      </w:r>
      <w:r w:rsidR="00F51641" w:rsidRPr="00F51641">
        <w:rPr>
          <w:lang w:val="fr-CA"/>
        </w:rPr>
        <w:t xml:space="preserve">information </w:t>
      </w:r>
      <w:r w:rsidR="002D156A">
        <w:rPr>
          <w:lang w:val="fr-CA"/>
        </w:rPr>
        <w:t>sur l’</w:t>
      </w:r>
      <w:r w:rsidR="00F51641" w:rsidRPr="00F51641">
        <w:rPr>
          <w:lang w:val="fr-CA"/>
        </w:rPr>
        <w:t>atmosph</w:t>
      </w:r>
      <w:r w:rsidR="00E24EBD">
        <w:rPr>
          <w:lang w:val="fr-CA"/>
        </w:rPr>
        <w:t>ère</w:t>
      </w:r>
      <w:r w:rsidR="00F51641" w:rsidRPr="00F51641">
        <w:rPr>
          <w:lang w:val="fr-CA"/>
        </w:rPr>
        <w:t>. La phase apparente est l</w:t>
      </w:r>
      <w:r w:rsidR="00E24EBD">
        <w:rPr>
          <w:lang w:val="fr-CA"/>
        </w:rPr>
        <w:t>’</w:t>
      </w:r>
      <w:r w:rsidR="00F51641" w:rsidRPr="00F51641">
        <w:rPr>
          <w:lang w:val="fr-CA"/>
        </w:rPr>
        <w:t xml:space="preserve">intégrale de la </w:t>
      </w:r>
      <w:r w:rsidR="00060F50">
        <w:rPr>
          <w:lang w:val="fr-CA"/>
        </w:rPr>
        <w:t>raie</w:t>
      </w:r>
      <w:r w:rsidR="00F51641" w:rsidRPr="00F51641">
        <w:rPr>
          <w:lang w:val="fr-CA"/>
        </w:rPr>
        <w:t xml:space="preserve"> d</w:t>
      </w:r>
      <w:r w:rsidR="00E24EBD">
        <w:rPr>
          <w:lang w:val="fr-CA"/>
        </w:rPr>
        <w:t>’</w:t>
      </w:r>
      <w:r w:rsidR="00F51641" w:rsidRPr="00F51641">
        <w:rPr>
          <w:lang w:val="fr-CA"/>
        </w:rPr>
        <w:t>intensité pondérée donnant le vent atmosphérique. La visibilité apparente est l</w:t>
      </w:r>
      <w:r w:rsidR="00E24EBD">
        <w:rPr>
          <w:lang w:val="fr-CA"/>
        </w:rPr>
        <w:t>’</w:t>
      </w:r>
      <w:r w:rsidR="00F51641" w:rsidRPr="00F51641">
        <w:rPr>
          <w:lang w:val="fr-CA"/>
        </w:rPr>
        <w:t xml:space="preserve">intégrale de la </w:t>
      </w:r>
      <w:r w:rsidR="00060F50">
        <w:rPr>
          <w:lang w:val="fr-CA"/>
        </w:rPr>
        <w:t>raie</w:t>
      </w:r>
      <w:r w:rsidR="00F51641" w:rsidRPr="00F51641">
        <w:rPr>
          <w:lang w:val="fr-CA"/>
        </w:rPr>
        <w:t xml:space="preserve"> d</w:t>
      </w:r>
      <w:r w:rsidR="00E24EBD">
        <w:rPr>
          <w:lang w:val="fr-CA"/>
        </w:rPr>
        <w:t>’</w:t>
      </w:r>
      <w:r w:rsidR="00F51641" w:rsidRPr="00F51641">
        <w:rPr>
          <w:lang w:val="fr-CA"/>
        </w:rPr>
        <w:t>intensité pondérée donnant la température atmosphérique. L</w:t>
      </w:r>
      <w:r w:rsidR="00E24EBD">
        <w:rPr>
          <w:lang w:val="fr-CA"/>
        </w:rPr>
        <w:t>’</w:t>
      </w:r>
      <w:r w:rsidR="00F51641" w:rsidRPr="00F51641">
        <w:rPr>
          <w:lang w:val="fr-CA"/>
        </w:rPr>
        <w:t>intensité apparente est l</w:t>
      </w:r>
      <w:r w:rsidR="00E24EBD">
        <w:rPr>
          <w:lang w:val="fr-CA"/>
        </w:rPr>
        <w:t>’</w:t>
      </w:r>
      <w:r w:rsidR="00F51641" w:rsidRPr="00F51641">
        <w:rPr>
          <w:lang w:val="fr-CA"/>
        </w:rPr>
        <w:t>intégrale linéaire du taux d</w:t>
      </w:r>
      <w:r w:rsidR="00E24EBD">
        <w:rPr>
          <w:lang w:val="fr-CA"/>
        </w:rPr>
        <w:t>’</w:t>
      </w:r>
      <w:r w:rsidR="00F51641" w:rsidRPr="00F51641">
        <w:rPr>
          <w:lang w:val="fr-CA"/>
        </w:rPr>
        <w:t xml:space="preserve">émission volumique. Chaque mesure est composée de colonnes verticales de </w:t>
      </w:r>
      <w:r w:rsidR="001B3AD9">
        <w:rPr>
          <w:lang w:val="fr-CA"/>
        </w:rPr>
        <w:t>cellules</w:t>
      </w:r>
      <w:r w:rsidR="00F51641" w:rsidRPr="00F51641">
        <w:rPr>
          <w:lang w:val="fr-CA"/>
        </w:rPr>
        <w:t>. Une colonne donne un balayage vertical à travers la couche d</w:t>
      </w:r>
      <w:r w:rsidR="00E24EBD">
        <w:rPr>
          <w:lang w:val="fr-CA"/>
        </w:rPr>
        <w:t>’</w:t>
      </w:r>
      <w:r w:rsidR="00F51641" w:rsidRPr="00F51641">
        <w:rPr>
          <w:lang w:val="fr-CA"/>
        </w:rPr>
        <w:t xml:space="preserve">air. Une image typique </w:t>
      </w:r>
      <w:r w:rsidR="002D156A">
        <w:rPr>
          <w:lang w:val="fr-CA"/>
        </w:rPr>
        <w:t>correspond à</w:t>
      </w:r>
      <w:r w:rsidR="00F51641" w:rsidRPr="00F51641">
        <w:rPr>
          <w:lang w:val="fr-CA"/>
        </w:rPr>
        <w:t xml:space="preserve"> 6 colonnes, </w:t>
      </w:r>
      <w:r w:rsidR="00E24EBD">
        <w:rPr>
          <w:lang w:val="fr-CA"/>
        </w:rPr>
        <w:t>ayant c</w:t>
      </w:r>
      <w:r w:rsidR="00F51641" w:rsidRPr="00F51641">
        <w:rPr>
          <w:lang w:val="fr-CA"/>
        </w:rPr>
        <w:t xml:space="preserve">hacune </w:t>
      </w:r>
      <w:r w:rsidR="00E24EBD">
        <w:rPr>
          <w:lang w:val="fr-CA"/>
        </w:rPr>
        <w:t>une largeur d’environ</w:t>
      </w:r>
      <w:r w:rsidR="00F51641" w:rsidRPr="00F51641">
        <w:rPr>
          <w:lang w:val="fr-CA"/>
        </w:rPr>
        <w:t xml:space="preserve"> 25</w:t>
      </w:r>
      <w:r w:rsidR="007A70BD">
        <w:rPr>
          <w:lang w:val="fr-CA"/>
        </w:rPr>
        <w:t> km</w:t>
      </w:r>
      <w:r w:rsidR="00F51641" w:rsidRPr="00F51641">
        <w:rPr>
          <w:lang w:val="fr-CA"/>
        </w:rPr>
        <w:t xml:space="preserve">. Afin de réduire les effets des ondes de gravité sur les valeurs de vent et de température finales, ces 6 colonnes sont moyennées ensemble pour former un seul profil vertical pour chaque </w:t>
      </w:r>
      <w:r w:rsidR="007A70BD">
        <w:rPr>
          <w:lang w:val="fr-CA"/>
        </w:rPr>
        <w:t>champ</w:t>
      </w:r>
      <w:r w:rsidR="00F51641" w:rsidRPr="00F51641">
        <w:rPr>
          <w:lang w:val="fr-CA"/>
        </w:rPr>
        <w:t>. L</w:t>
      </w:r>
      <w:r w:rsidR="00E24EBD">
        <w:rPr>
          <w:lang w:val="fr-CA"/>
        </w:rPr>
        <w:t>’</w:t>
      </w:r>
      <w:r w:rsidR="00F51641" w:rsidRPr="00F51641">
        <w:rPr>
          <w:lang w:val="fr-CA"/>
        </w:rPr>
        <w:t>intensité apparente est inversée en utilisant l</w:t>
      </w:r>
      <w:r w:rsidR="00E24EBD">
        <w:rPr>
          <w:lang w:val="fr-CA"/>
        </w:rPr>
        <w:t>’</w:t>
      </w:r>
      <w:r w:rsidR="00F51641" w:rsidRPr="00F51641">
        <w:rPr>
          <w:lang w:val="fr-CA"/>
        </w:rPr>
        <w:t xml:space="preserve">inversion de </w:t>
      </w:r>
      <w:proofErr w:type="spellStart"/>
      <w:r w:rsidR="00F51641" w:rsidRPr="00F51641">
        <w:rPr>
          <w:lang w:val="fr-CA"/>
        </w:rPr>
        <w:t>Twomey</w:t>
      </w:r>
      <w:proofErr w:type="spellEnd"/>
      <w:r w:rsidR="00F51641" w:rsidRPr="00F51641">
        <w:rPr>
          <w:lang w:val="fr-CA"/>
        </w:rPr>
        <w:t xml:space="preserve"> contrainte pour obtenir le profil du débit volumique (voir </w:t>
      </w:r>
      <w:r w:rsidR="002D156A">
        <w:rPr>
          <w:lang w:val="fr-CA"/>
        </w:rPr>
        <w:t>« </w:t>
      </w:r>
      <w:r w:rsidR="002D156A" w:rsidRPr="00B41843">
        <w:rPr>
          <w:lang w:val="fr-CA"/>
        </w:rPr>
        <w:t xml:space="preserve">Introduction to the </w:t>
      </w:r>
      <w:proofErr w:type="spellStart"/>
      <w:r w:rsidR="002D156A" w:rsidRPr="00B41843">
        <w:rPr>
          <w:lang w:val="fr-CA"/>
        </w:rPr>
        <w:t>Mathematics</w:t>
      </w:r>
      <w:proofErr w:type="spellEnd"/>
      <w:r w:rsidR="002D156A" w:rsidRPr="00B41843">
        <w:rPr>
          <w:lang w:val="fr-CA"/>
        </w:rPr>
        <w:t xml:space="preserve"> of Inversion in </w:t>
      </w:r>
      <w:proofErr w:type="spellStart"/>
      <w:r w:rsidR="002D156A" w:rsidRPr="00B41843">
        <w:rPr>
          <w:lang w:val="fr-CA"/>
        </w:rPr>
        <w:t>Remote</w:t>
      </w:r>
      <w:proofErr w:type="spellEnd"/>
      <w:r w:rsidR="002D156A" w:rsidRPr="00B41843">
        <w:rPr>
          <w:lang w:val="fr-CA"/>
        </w:rPr>
        <w:t xml:space="preserve"> </w:t>
      </w:r>
      <w:proofErr w:type="spellStart"/>
      <w:r w:rsidR="002D156A" w:rsidRPr="00B41843">
        <w:rPr>
          <w:lang w:val="fr-CA"/>
        </w:rPr>
        <w:t>Sensing</w:t>
      </w:r>
      <w:proofErr w:type="spellEnd"/>
      <w:r w:rsidR="002D156A" w:rsidRPr="00B41843">
        <w:rPr>
          <w:lang w:val="fr-CA"/>
        </w:rPr>
        <w:t xml:space="preserve"> and Indirect </w:t>
      </w:r>
      <w:proofErr w:type="spellStart"/>
      <w:r w:rsidR="002D156A" w:rsidRPr="00B41843">
        <w:rPr>
          <w:lang w:val="fr-CA"/>
        </w:rPr>
        <w:t>Measurements</w:t>
      </w:r>
      <w:proofErr w:type="spellEnd"/>
      <w:r w:rsidR="002D156A" w:rsidRPr="00B41843">
        <w:rPr>
          <w:lang w:val="fr-CA"/>
        </w:rPr>
        <w:t> »</w:t>
      </w:r>
      <w:r w:rsidR="00F51641" w:rsidRPr="00F51641">
        <w:rPr>
          <w:lang w:val="fr-CA"/>
        </w:rPr>
        <w:t xml:space="preserve">, par S. </w:t>
      </w:r>
      <w:proofErr w:type="spellStart"/>
      <w:r w:rsidR="00F51641" w:rsidRPr="00F51641">
        <w:rPr>
          <w:lang w:val="fr-CA"/>
        </w:rPr>
        <w:t>Twomey</w:t>
      </w:r>
      <w:proofErr w:type="spellEnd"/>
      <w:r w:rsidR="00F51641" w:rsidRPr="00F51641">
        <w:rPr>
          <w:lang w:val="fr-CA"/>
        </w:rPr>
        <w:t xml:space="preserve">, </w:t>
      </w:r>
      <w:proofErr w:type="spellStart"/>
      <w:r w:rsidR="00F51641" w:rsidRPr="00F51641">
        <w:rPr>
          <w:lang w:val="fr-CA"/>
        </w:rPr>
        <w:t>Development</w:t>
      </w:r>
      <w:proofErr w:type="spellEnd"/>
      <w:r w:rsidR="00F51641" w:rsidRPr="00F51641">
        <w:rPr>
          <w:lang w:val="fr-CA"/>
        </w:rPr>
        <w:t xml:space="preserve"> in </w:t>
      </w:r>
      <w:proofErr w:type="spellStart"/>
      <w:r w:rsidR="00F51641" w:rsidRPr="00F51641">
        <w:rPr>
          <w:lang w:val="fr-CA"/>
        </w:rPr>
        <w:t>Geomathematics</w:t>
      </w:r>
      <w:proofErr w:type="spellEnd"/>
      <w:r w:rsidR="00F51641" w:rsidRPr="00F51641">
        <w:rPr>
          <w:lang w:val="fr-CA"/>
        </w:rPr>
        <w:t xml:space="preserve"> </w:t>
      </w:r>
      <w:proofErr w:type="spellStart"/>
      <w:r w:rsidR="00F51641" w:rsidRPr="00F51641">
        <w:rPr>
          <w:lang w:val="fr-CA"/>
        </w:rPr>
        <w:t>series</w:t>
      </w:r>
      <w:proofErr w:type="spellEnd"/>
      <w:r w:rsidR="00F51641" w:rsidRPr="00F51641">
        <w:rPr>
          <w:lang w:val="fr-CA"/>
        </w:rPr>
        <w:t xml:space="preserve">, Elsevier, New York, 1977). </w:t>
      </w:r>
      <w:r w:rsidR="002D156A">
        <w:rPr>
          <w:lang w:val="fr-CA"/>
        </w:rPr>
        <w:t xml:space="preserve">Le résultat </w:t>
      </w:r>
      <w:r w:rsidR="00F51641" w:rsidRPr="00F51641">
        <w:rPr>
          <w:lang w:val="fr-CA"/>
        </w:rPr>
        <w:t xml:space="preserve">est ensuite utilisé pour </w:t>
      </w:r>
      <w:proofErr w:type="spellStart"/>
      <w:r w:rsidR="00F51641" w:rsidRPr="00F51641">
        <w:rPr>
          <w:lang w:val="fr-CA"/>
        </w:rPr>
        <w:t>déconvoluer</w:t>
      </w:r>
      <w:proofErr w:type="spellEnd"/>
      <w:r w:rsidR="00F51641" w:rsidRPr="00F51641">
        <w:rPr>
          <w:lang w:val="fr-CA"/>
        </w:rPr>
        <w:t xml:space="preserve"> la phase apparente et la visibilité. Enfin, les profils de vent et de température sont calculés à partir de la phase inversée et de la visibilité pour chaque </w:t>
      </w:r>
      <w:r w:rsidR="007A70BD">
        <w:rPr>
          <w:lang w:val="fr-CA"/>
        </w:rPr>
        <w:t>champ</w:t>
      </w:r>
      <w:r w:rsidR="00F51641" w:rsidRPr="00F51641">
        <w:rPr>
          <w:lang w:val="fr-CA"/>
        </w:rPr>
        <w:t xml:space="preserve">. La dernière étape du traitement de niveau 2 consiste à combiner les vents </w:t>
      </w:r>
      <w:r w:rsidR="002D156A">
        <w:rPr>
          <w:lang w:val="fr-CA"/>
        </w:rPr>
        <w:t>dans l’axe de visée</w:t>
      </w:r>
      <w:r w:rsidR="00F51641" w:rsidRPr="00F51641">
        <w:rPr>
          <w:lang w:val="fr-CA"/>
        </w:rPr>
        <w:t xml:space="preserve"> de chaque </w:t>
      </w:r>
      <w:r w:rsidR="007A70BD">
        <w:rPr>
          <w:lang w:val="fr-CA"/>
        </w:rPr>
        <w:t>champ</w:t>
      </w:r>
      <w:r w:rsidR="00F51641" w:rsidRPr="00F51641">
        <w:rPr>
          <w:lang w:val="fr-CA"/>
        </w:rPr>
        <w:t xml:space="preserve"> pour former les vents vecteurs désirés. Ce</w:t>
      </w:r>
      <w:r w:rsidR="00E24EBD">
        <w:rPr>
          <w:lang w:val="fr-CA"/>
        </w:rPr>
        <w:t>la était effectué</w:t>
      </w:r>
      <w:r w:rsidR="00F51641" w:rsidRPr="00F51641">
        <w:rPr>
          <w:lang w:val="fr-CA"/>
        </w:rPr>
        <w:t xml:space="preserve"> en sélectionnant les données du </w:t>
      </w:r>
      <w:r w:rsidR="007A70BD">
        <w:rPr>
          <w:lang w:val="fr-CA"/>
        </w:rPr>
        <w:t>champ</w:t>
      </w:r>
      <w:r w:rsidR="00F51641" w:rsidRPr="00F51641">
        <w:rPr>
          <w:lang w:val="fr-CA"/>
        </w:rPr>
        <w:t xml:space="preserve"> avant qui chevauche</w:t>
      </w:r>
      <w:r w:rsidR="002D156A">
        <w:rPr>
          <w:lang w:val="fr-CA"/>
        </w:rPr>
        <w:t>nt</w:t>
      </w:r>
      <w:r w:rsidR="00F51641" w:rsidRPr="00F51641">
        <w:rPr>
          <w:lang w:val="fr-CA"/>
        </w:rPr>
        <w:t xml:space="preserve"> les données du </w:t>
      </w:r>
      <w:r w:rsidR="007A70BD">
        <w:rPr>
          <w:lang w:val="fr-CA"/>
        </w:rPr>
        <w:t>champ</w:t>
      </w:r>
      <w:r w:rsidR="00F51641" w:rsidRPr="00F51641">
        <w:rPr>
          <w:lang w:val="fr-CA"/>
        </w:rPr>
        <w:t xml:space="preserve"> arrière. Les composantes zonale et méridionale du vent ne sont calculées que si les deux </w:t>
      </w:r>
      <w:r w:rsidR="007A70BD">
        <w:rPr>
          <w:lang w:val="fr-CA"/>
        </w:rPr>
        <w:t>champ</w:t>
      </w:r>
      <w:r w:rsidR="002D156A">
        <w:rPr>
          <w:lang w:val="fr-CA"/>
        </w:rPr>
        <w:t>s</w:t>
      </w:r>
      <w:r w:rsidR="00F51641" w:rsidRPr="00F51641">
        <w:rPr>
          <w:lang w:val="fr-CA"/>
        </w:rPr>
        <w:t xml:space="preserve"> </w:t>
      </w:r>
      <w:r w:rsidR="002D156A">
        <w:rPr>
          <w:lang w:val="fr-CA"/>
        </w:rPr>
        <w:t xml:space="preserve">contiennent </w:t>
      </w:r>
      <w:r w:rsidR="00F51641" w:rsidRPr="00F51641">
        <w:rPr>
          <w:lang w:val="fr-CA"/>
        </w:rPr>
        <w:t xml:space="preserve">le même volume et les </w:t>
      </w:r>
      <w:r w:rsidR="002D156A">
        <w:rPr>
          <w:lang w:val="fr-CA"/>
        </w:rPr>
        <w:t xml:space="preserve">mêmes </w:t>
      </w:r>
      <w:r w:rsidR="00F51641" w:rsidRPr="00F51641">
        <w:rPr>
          <w:lang w:val="fr-CA"/>
        </w:rPr>
        <w:t>taux d</w:t>
      </w:r>
      <w:r w:rsidR="00E24EBD">
        <w:rPr>
          <w:lang w:val="fr-CA"/>
        </w:rPr>
        <w:t>’</w:t>
      </w:r>
      <w:r w:rsidR="00F51641" w:rsidRPr="00F51641">
        <w:rPr>
          <w:lang w:val="fr-CA"/>
        </w:rPr>
        <w:t xml:space="preserve">émission volumiques et </w:t>
      </w:r>
      <w:r w:rsidR="002D156A">
        <w:rPr>
          <w:lang w:val="fr-CA"/>
        </w:rPr>
        <w:t xml:space="preserve">que les </w:t>
      </w:r>
      <w:r w:rsidR="00F51641" w:rsidRPr="00F51641">
        <w:rPr>
          <w:lang w:val="fr-CA"/>
        </w:rPr>
        <w:t>températures (les deux quantités scalaires) concordent dans les limites spécifiées. Les données de niveau 2 sont enregistrées pour chaque mesure sans interpolation.</w:t>
      </w:r>
    </w:p>
    <w:p w:rsidR="00F51641" w:rsidRPr="00F51641" w:rsidRDefault="00F51641" w:rsidP="00F51641">
      <w:pPr>
        <w:jc w:val="both"/>
        <w:rPr>
          <w:lang w:val="fr-CA"/>
        </w:rPr>
      </w:pPr>
    </w:p>
    <w:p w:rsidR="00F33104" w:rsidRPr="00CD3C74" w:rsidRDefault="00F51641" w:rsidP="00F51641">
      <w:pPr>
        <w:jc w:val="both"/>
        <w:rPr>
          <w:lang w:val="fr-CA"/>
        </w:rPr>
      </w:pPr>
      <w:r w:rsidRPr="00F51641">
        <w:rPr>
          <w:lang w:val="fr-CA"/>
        </w:rPr>
        <w:t>La troisième étape du travail interpol</w:t>
      </w:r>
      <w:r w:rsidR="00E24EBD">
        <w:rPr>
          <w:lang w:val="fr-CA"/>
        </w:rPr>
        <w:t>ait</w:t>
      </w:r>
      <w:r w:rsidRPr="00F51641">
        <w:rPr>
          <w:lang w:val="fr-CA"/>
        </w:rPr>
        <w:t xml:space="preserve"> les données de niveau 2 de WINDII sur un</w:t>
      </w:r>
      <w:r w:rsidR="00E24EBD">
        <w:rPr>
          <w:lang w:val="fr-CA"/>
        </w:rPr>
        <w:t xml:space="preserve"> quadrillage </w:t>
      </w:r>
      <w:r w:rsidRPr="00F51641">
        <w:rPr>
          <w:lang w:val="fr-CA"/>
        </w:rPr>
        <w:t>standard</w:t>
      </w:r>
      <w:r w:rsidR="00E24EBD">
        <w:rPr>
          <w:lang w:val="fr-CA"/>
        </w:rPr>
        <w:t xml:space="preserve"> pour former </w:t>
      </w:r>
      <w:r w:rsidRPr="00F51641">
        <w:rPr>
          <w:lang w:val="fr-CA"/>
        </w:rPr>
        <w:t xml:space="preserve">les données de </w:t>
      </w:r>
      <w:r w:rsidR="00E24EBD">
        <w:rPr>
          <w:lang w:val="fr-CA"/>
        </w:rPr>
        <w:t xml:space="preserve"> n</w:t>
      </w:r>
      <w:r w:rsidRPr="00F51641">
        <w:rPr>
          <w:lang w:val="fr-CA"/>
        </w:rPr>
        <w:t>iveau 3, définies par le projet UARS. Ces données ne sont pas incluses dans les archives actuelles car il n</w:t>
      </w:r>
      <w:r w:rsidR="00E24EBD">
        <w:rPr>
          <w:lang w:val="fr-CA"/>
        </w:rPr>
        <w:t>’</w:t>
      </w:r>
      <w:r w:rsidRPr="00F51641">
        <w:rPr>
          <w:lang w:val="fr-CA"/>
        </w:rPr>
        <w:t>y a pas de nouvelles informations dans les données de niveau 3 et l</w:t>
      </w:r>
      <w:r w:rsidR="00E24EBD">
        <w:rPr>
          <w:lang w:val="fr-CA"/>
        </w:rPr>
        <w:t>’</w:t>
      </w:r>
      <w:r w:rsidRPr="00F51641">
        <w:rPr>
          <w:lang w:val="fr-CA"/>
        </w:rPr>
        <w:t>interpolation peut ajouter des erreurs. Il est recommandé d</w:t>
      </w:r>
      <w:r w:rsidR="00E24EBD">
        <w:rPr>
          <w:lang w:val="fr-CA"/>
        </w:rPr>
        <w:t>’</w:t>
      </w:r>
      <w:r w:rsidRPr="00F51641">
        <w:rPr>
          <w:lang w:val="fr-CA"/>
        </w:rPr>
        <w:t>utiliser les données WINDII de niveau 2 avec l</w:t>
      </w:r>
      <w:r w:rsidR="00E24EBD">
        <w:rPr>
          <w:lang w:val="fr-CA"/>
        </w:rPr>
        <w:t>’</w:t>
      </w:r>
      <w:r w:rsidRPr="00F51641">
        <w:rPr>
          <w:lang w:val="fr-CA"/>
        </w:rPr>
        <w:t>échantillonnage de mesure naturel.</w:t>
      </w:r>
    </w:p>
    <w:p w:rsidR="00F33104" w:rsidRPr="00CD3C74" w:rsidRDefault="00F33104">
      <w:pPr>
        <w:rPr>
          <w:lang w:val="fr-CA"/>
        </w:rPr>
      </w:pPr>
    </w:p>
    <w:p w:rsidR="00F33104" w:rsidRDefault="00F51641">
      <w:pPr>
        <w:rPr>
          <w:b/>
          <w:bCs/>
          <w:lang w:val="fr-CA"/>
        </w:rPr>
      </w:pPr>
      <w:r>
        <w:rPr>
          <w:b/>
          <w:bCs/>
          <w:lang w:val="fr-CA"/>
        </w:rPr>
        <w:t>Usage des données</w:t>
      </w:r>
    </w:p>
    <w:p w:rsidR="00F51641" w:rsidRPr="00CD3C74" w:rsidRDefault="00F51641">
      <w:pPr>
        <w:rPr>
          <w:lang w:val="fr-CA"/>
        </w:rPr>
      </w:pPr>
    </w:p>
    <w:p w:rsidR="00F33104" w:rsidRPr="00CD3C74" w:rsidRDefault="00F51641" w:rsidP="00F51641">
      <w:pPr>
        <w:rPr>
          <w:lang w:val="fr-CA"/>
        </w:rPr>
      </w:pPr>
      <w:r w:rsidRPr="00F51641">
        <w:rPr>
          <w:lang w:val="fr-CA"/>
        </w:rPr>
        <w:t>Les données peuvent être utilisées pour fournir des cartes synoptiques globales du vent et de la température dans la haute mésosphère et la basse thermosphère.</w:t>
      </w:r>
    </w:p>
    <w:p w:rsidR="00F33104" w:rsidRPr="00CD3C74" w:rsidRDefault="00F33104">
      <w:pPr>
        <w:rPr>
          <w:lang w:val="fr-CA"/>
        </w:rPr>
      </w:pPr>
    </w:p>
    <w:p w:rsidR="00F33104" w:rsidRPr="00CD3C74" w:rsidRDefault="00F51641">
      <w:pPr>
        <w:rPr>
          <w:lang w:val="fr-CA"/>
        </w:rPr>
      </w:pPr>
      <w:r>
        <w:rPr>
          <w:b/>
          <w:bCs/>
          <w:lang w:val="fr-CA"/>
        </w:rPr>
        <w:lastRenderedPageBreak/>
        <w:t>Organisation des données</w:t>
      </w:r>
      <w:r w:rsidR="00F33104" w:rsidRPr="00CD3C74">
        <w:rPr>
          <w:lang w:val="fr-CA"/>
        </w:rPr>
        <w:t xml:space="preserve"> </w:t>
      </w:r>
    </w:p>
    <w:p w:rsidR="00F51641" w:rsidRPr="00F51641" w:rsidRDefault="00F51641" w:rsidP="00F51641">
      <w:pPr>
        <w:rPr>
          <w:lang w:val="fr-CA"/>
        </w:rPr>
      </w:pPr>
    </w:p>
    <w:p w:rsidR="00F33104" w:rsidRPr="00CD3C74" w:rsidRDefault="00F51641" w:rsidP="00F51641">
      <w:pPr>
        <w:rPr>
          <w:lang w:val="fr-CA"/>
        </w:rPr>
      </w:pPr>
      <w:r w:rsidRPr="00F51641">
        <w:rPr>
          <w:lang w:val="fr-CA"/>
        </w:rPr>
        <w:t>Les données WINDII sont enregistrées dans la structure de répertoires suivante avec des descriptions de format de fichier détaillées.</w:t>
      </w:r>
    </w:p>
    <w:p w:rsidR="00F33104" w:rsidRPr="00CD3C74" w:rsidRDefault="00F33104">
      <w:pPr>
        <w:rPr>
          <w:lang w:val="fr-CA"/>
        </w:rPr>
      </w:pPr>
      <w:r w:rsidRPr="00CD3C74">
        <w:rPr>
          <w:rFonts w:eastAsia="Times New Roman" w:cs="Times New Roman"/>
          <w:lang w:val="fr-CA"/>
        </w:rPr>
        <w:t xml:space="preserve">          </w:t>
      </w:r>
    </w:p>
    <w:p w:rsidR="00F33104" w:rsidRPr="00CD3C74" w:rsidRDefault="00F33104">
      <w:pPr>
        <w:jc w:val="center"/>
        <w:rPr>
          <w:lang w:val="fr-CA"/>
        </w:rPr>
      </w:pPr>
      <w:r w:rsidRPr="00CD3C74">
        <w:rPr>
          <w:lang w:val="fr-CA"/>
        </w:rPr>
        <w:tab/>
      </w:r>
      <w:r w:rsidR="00CC5420" w:rsidRPr="00CD3C74">
        <w:rPr>
          <w:noProof/>
          <w:lang w:eastAsia="en-CA" w:bidi="ar-SA"/>
        </w:rPr>
        <w:drawing>
          <wp:inline distT="0" distB="0" distL="0" distR="0">
            <wp:extent cx="5943600" cy="4276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4276725"/>
                    </a:xfrm>
                    <a:prstGeom prst="rect">
                      <a:avLst/>
                    </a:prstGeom>
                    <a:solidFill>
                      <a:srgbClr val="FFFFFF">
                        <a:alpha val="0"/>
                      </a:srgbClr>
                    </a:solidFill>
                    <a:ln>
                      <a:noFill/>
                    </a:ln>
                  </pic:spPr>
                </pic:pic>
              </a:graphicData>
            </a:graphic>
          </wp:inline>
        </w:drawing>
      </w:r>
    </w:p>
    <w:p w:rsidR="00BC1543" w:rsidRDefault="00BC1543">
      <w:pPr>
        <w:rPr>
          <w:lang w:val="fr-CA"/>
        </w:rPr>
      </w:pPr>
    </w:p>
    <w:p w:rsidR="00BC1543" w:rsidRDefault="00BC1543">
      <w:pPr>
        <w:rPr>
          <w:b/>
          <w:lang w:val="fr-CA"/>
        </w:rPr>
      </w:pPr>
      <w:r w:rsidRPr="00BC1543">
        <w:rPr>
          <w:b/>
          <w:lang w:val="fr-CA"/>
        </w:rPr>
        <w:t>L</w:t>
      </w:r>
      <w:r w:rsidR="00E24EBD">
        <w:rPr>
          <w:b/>
          <w:lang w:val="fr-CA"/>
        </w:rPr>
        <w:t>ÉGENDE</w:t>
      </w:r>
    </w:p>
    <w:p w:rsidR="00B24E1C" w:rsidRDefault="00B24E1C">
      <w:pPr>
        <w:rPr>
          <w:b/>
          <w:lang w:val="fr-CA"/>
        </w:rPr>
      </w:pPr>
      <w:bookmarkStart w:id="1" w:name="_GoBack"/>
      <w:bookmarkEnd w:id="1"/>
    </w:p>
    <w:p w:rsidR="00BC1543" w:rsidRPr="00BC1543" w:rsidRDefault="00BC1543" w:rsidP="00937A06">
      <w:pPr>
        <w:ind w:left="3600" w:hanging="3600"/>
        <w:rPr>
          <w:b/>
          <w:lang w:val="fr-CA"/>
        </w:rPr>
      </w:pPr>
      <w:proofErr w:type="spellStart"/>
      <w:r>
        <w:rPr>
          <w:b/>
          <w:lang w:val="fr-CA"/>
        </w:rPr>
        <w:t>Windii</w:t>
      </w:r>
      <w:proofErr w:type="spellEnd"/>
      <w:r>
        <w:rPr>
          <w:b/>
          <w:lang w:val="fr-CA"/>
        </w:rPr>
        <w:t>...</w:t>
      </w:r>
      <w:r>
        <w:rPr>
          <w:b/>
          <w:lang w:val="fr-CA"/>
        </w:rPr>
        <w:tab/>
        <w:t>WINDII dans le portail des données ouvertes de l’ASC</w:t>
      </w:r>
    </w:p>
    <w:p w:rsidR="00BC1543" w:rsidRDefault="00BC1543" w:rsidP="00937A06">
      <w:pPr>
        <w:ind w:left="3600" w:hanging="3600"/>
        <w:rPr>
          <w:lang w:val="fr-CA"/>
        </w:rPr>
      </w:pPr>
      <w:r>
        <w:rPr>
          <w:lang w:val="fr-CA"/>
        </w:rPr>
        <w:t>Background</w:t>
      </w:r>
      <w:r>
        <w:rPr>
          <w:lang w:val="fr-CA"/>
        </w:rPr>
        <w:tab/>
        <w:t>Bruit de fond</w:t>
      </w:r>
    </w:p>
    <w:p w:rsidR="00BC1543" w:rsidRDefault="00BC1543" w:rsidP="00937A06">
      <w:pPr>
        <w:ind w:left="3600" w:hanging="3600"/>
        <w:rPr>
          <w:lang w:val="fr-CA"/>
        </w:rPr>
      </w:pPr>
      <w:proofErr w:type="spellStart"/>
      <w:r>
        <w:rPr>
          <w:lang w:val="fr-CA"/>
        </w:rPr>
        <w:t>Campaign</w:t>
      </w:r>
      <w:proofErr w:type="spellEnd"/>
      <w:r>
        <w:rPr>
          <w:lang w:val="fr-CA"/>
        </w:rPr>
        <w:tab/>
        <w:t>Campagne</w:t>
      </w:r>
    </w:p>
    <w:p w:rsidR="00BC1543" w:rsidRDefault="00BC1543" w:rsidP="00937A06">
      <w:pPr>
        <w:ind w:left="3600" w:hanging="3600"/>
        <w:rPr>
          <w:lang w:val="fr-CA"/>
        </w:rPr>
      </w:pPr>
      <w:proofErr w:type="spellStart"/>
      <w:r>
        <w:rPr>
          <w:lang w:val="fr-CA"/>
        </w:rPr>
        <w:t>Level</w:t>
      </w:r>
      <w:proofErr w:type="spellEnd"/>
      <w:r>
        <w:rPr>
          <w:lang w:val="fr-CA"/>
        </w:rPr>
        <w:t xml:space="preserve"> 2</w:t>
      </w:r>
      <w:r>
        <w:rPr>
          <w:lang w:val="fr-CA"/>
        </w:rPr>
        <w:tab/>
        <w:t>Niveau 2</w:t>
      </w:r>
    </w:p>
    <w:p w:rsidR="00BC1543" w:rsidRDefault="00BC1543" w:rsidP="00937A06">
      <w:pPr>
        <w:ind w:left="3600" w:hanging="3600"/>
        <w:rPr>
          <w:lang w:val="fr-CA"/>
        </w:rPr>
      </w:pPr>
      <w:proofErr w:type="spellStart"/>
      <w:r>
        <w:rPr>
          <w:lang w:val="fr-CA"/>
        </w:rPr>
        <w:t>Level</w:t>
      </w:r>
      <w:proofErr w:type="spellEnd"/>
      <w:r>
        <w:rPr>
          <w:lang w:val="fr-CA"/>
        </w:rPr>
        <w:t xml:space="preserve"> 1</w:t>
      </w:r>
      <w:r>
        <w:rPr>
          <w:lang w:val="fr-CA"/>
        </w:rPr>
        <w:tab/>
        <w:t>Niveau 1</w:t>
      </w:r>
    </w:p>
    <w:p w:rsidR="00BC1543" w:rsidRDefault="00BC1543" w:rsidP="00937A06">
      <w:pPr>
        <w:ind w:left="3600" w:hanging="3600"/>
        <w:rPr>
          <w:lang w:val="fr-CA"/>
        </w:rPr>
      </w:pPr>
    </w:p>
    <w:p w:rsidR="00BC1543" w:rsidRDefault="00BC1543" w:rsidP="00937A06">
      <w:pPr>
        <w:ind w:left="3600" w:hanging="3600"/>
        <w:rPr>
          <w:lang w:val="fr-CA"/>
        </w:rPr>
      </w:pPr>
      <w:r>
        <w:rPr>
          <w:lang w:val="fr-CA"/>
        </w:rPr>
        <w:t xml:space="preserve">Volume </w:t>
      </w:r>
      <w:proofErr w:type="spellStart"/>
      <w:r>
        <w:rPr>
          <w:lang w:val="fr-CA"/>
        </w:rPr>
        <w:t>emission</w:t>
      </w:r>
      <w:proofErr w:type="spellEnd"/>
      <w:r>
        <w:rPr>
          <w:lang w:val="fr-CA"/>
        </w:rPr>
        <w:t xml:space="preserve"> rate</w:t>
      </w:r>
      <w:r>
        <w:rPr>
          <w:lang w:val="fr-CA"/>
        </w:rPr>
        <w:tab/>
        <w:t xml:space="preserve">Taux d’émission volumique </w:t>
      </w:r>
    </w:p>
    <w:p w:rsidR="00BC1543" w:rsidRDefault="00BC1543" w:rsidP="00937A06">
      <w:pPr>
        <w:ind w:left="3600" w:hanging="3600"/>
        <w:rPr>
          <w:lang w:val="fr-CA"/>
        </w:rPr>
      </w:pPr>
      <w:r>
        <w:rPr>
          <w:lang w:val="fr-CA"/>
        </w:rPr>
        <w:t>Wind</w:t>
      </w:r>
      <w:r>
        <w:rPr>
          <w:lang w:val="fr-CA"/>
        </w:rPr>
        <w:tab/>
        <w:t>Vent</w:t>
      </w:r>
    </w:p>
    <w:p w:rsidR="00BC1543" w:rsidRDefault="00BC1543" w:rsidP="00937A06">
      <w:pPr>
        <w:ind w:left="3600" w:hanging="3600"/>
        <w:rPr>
          <w:lang w:val="fr-CA"/>
        </w:rPr>
      </w:pPr>
      <w:proofErr w:type="spellStart"/>
      <w:r>
        <w:rPr>
          <w:lang w:val="fr-CA"/>
        </w:rPr>
        <w:t>Temperature</w:t>
      </w:r>
      <w:proofErr w:type="spellEnd"/>
      <w:r>
        <w:rPr>
          <w:lang w:val="fr-CA"/>
        </w:rPr>
        <w:tab/>
        <w:t>Température</w:t>
      </w:r>
    </w:p>
    <w:p w:rsidR="00BC1543" w:rsidRDefault="00BC1543" w:rsidP="00937A06">
      <w:pPr>
        <w:ind w:left="3600" w:hanging="3600"/>
        <w:rPr>
          <w:lang w:val="fr-CA"/>
        </w:rPr>
      </w:pPr>
      <w:r>
        <w:rPr>
          <w:lang w:val="fr-CA"/>
        </w:rPr>
        <w:t xml:space="preserve">Integrated </w:t>
      </w:r>
      <w:proofErr w:type="spellStart"/>
      <w:r>
        <w:rPr>
          <w:lang w:val="fr-CA"/>
        </w:rPr>
        <w:t>emission</w:t>
      </w:r>
      <w:proofErr w:type="spellEnd"/>
      <w:r>
        <w:rPr>
          <w:lang w:val="fr-CA"/>
        </w:rPr>
        <w:t xml:space="preserve"> rate</w:t>
      </w:r>
      <w:r>
        <w:rPr>
          <w:lang w:val="fr-CA"/>
        </w:rPr>
        <w:tab/>
        <w:t>Taux d’émission intégré</w:t>
      </w:r>
    </w:p>
    <w:p w:rsidR="00BC1543" w:rsidRDefault="00BC1543" w:rsidP="00937A06">
      <w:pPr>
        <w:ind w:left="3600" w:hanging="3600"/>
        <w:rPr>
          <w:lang w:val="fr-CA"/>
        </w:rPr>
      </w:pPr>
      <w:r>
        <w:rPr>
          <w:lang w:val="fr-CA"/>
        </w:rPr>
        <w:t>Phase</w:t>
      </w:r>
      <w:r w:rsidR="00937A06">
        <w:rPr>
          <w:lang w:val="fr-CA"/>
        </w:rPr>
        <w:tab/>
      </w:r>
      <w:proofErr w:type="spellStart"/>
      <w:r w:rsidR="00937A06">
        <w:rPr>
          <w:lang w:val="fr-CA"/>
        </w:rPr>
        <w:t>Phase</w:t>
      </w:r>
      <w:proofErr w:type="spellEnd"/>
    </w:p>
    <w:p w:rsidR="00BC1543" w:rsidRDefault="00BC1543" w:rsidP="00937A06">
      <w:pPr>
        <w:ind w:left="3600" w:hanging="3600"/>
        <w:rPr>
          <w:lang w:val="fr-CA"/>
        </w:rPr>
      </w:pPr>
      <w:r>
        <w:rPr>
          <w:lang w:val="fr-CA"/>
        </w:rPr>
        <w:t>Zonal</w:t>
      </w:r>
      <w:r>
        <w:rPr>
          <w:lang w:val="fr-CA"/>
        </w:rPr>
        <w:tab/>
      </w:r>
      <w:proofErr w:type="spellStart"/>
      <w:r>
        <w:rPr>
          <w:lang w:val="fr-CA"/>
        </w:rPr>
        <w:t>Zonal</w:t>
      </w:r>
      <w:proofErr w:type="spellEnd"/>
    </w:p>
    <w:p w:rsidR="00BC1543" w:rsidRDefault="00BC1543" w:rsidP="00937A06">
      <w:pPr>
        <w:ind w:left="3600" w:hanging="3600"/>
        <w:rPr>
          <w:lang w:val="fr-CA"/>
        </w:rPr>
      </w:pPr>
      <w:proofErr w:type="spellStart"/>
      <w:r>
        <w:rPr>
          <w:lang w:val="fr-CA"/>
        </w:rPr>
        <w:t>Meridional</w:t>
      </w:r>
      <w:proofErr w:type="spellEnd"/>
      <w:r>
        <w:rPr>
          <w:lang w:val="fr-CA"/>
        </w:rPr>
        <w:tab/>
        <w:t>Méridional</w:t>
      </w:r>
      <w:r>
        <w:rPr>
          <w:lang w:val="fr-CA"/>
        </w:rPr>
        <w:tab/>
      </w:r>
    </w:p>
    <w:p w:rsidR="00BC1543" w:rsidRDefault="00BC1543" w:rsidP="00937A06">
      <w:pPr>
        <w:ind w:left="3600" w:hanging="3600"/>
        <w:rPr>
          <w:lang w:val="fr-CA"/>
        </w:rPr>
      </w:pPr>
      <w:r>
        <w:rPr>
          <w:lang w:val="fr-CA"/>
        </w:rPr>
        <w:t>YYDDD</w:t>
      </w:r>
      <w:r>
        <w:rPr>
          <w:lang w:val="fr-CA"/>
        </w:rPr>
        <w:tab/>
        <w:t>AAJJJ</w:t>
      </w:r>
    </w:p>
    <w:p w:rsidR="00F33104" w:rsidRPr="00CD3C74" w:rsidRDefault="00F33104">
      <w:pPr>
        <w:rPr>
          <w:lang w:val="fr-CA"/>
        </w:rPr>
      </w:pPr>
      <w:r w:rsidRPr="00CD3C74">
        <w:rPr>
          <w:b/>
          <w:bCs/>
          <w:lang w:val="fr-CA"/>
        </w:rPr>
        <w:lastRenderedPageBreak/>
        <w:t>R</w:t>
      </w:r>
      <w:r w:rsidR="00CD3C74">
        <w:rPr>
          <w:b/>
          <w:bCs/>
          <w:lang w:val="fr-CA"/>
        </w:rPr>
        <w:t>éfé</w:t>
      </w:r>
      <w:r w:rsidRPr="00CD3C74">
        <w:rPr>
          <w:b/>
          <w:bCs/>
          <w:lang w:val="fr-CA"/>
        </w:rPr>
        <w:t>rences</w:t>
      </w:r>
      <w:r w:rsidR="00CD3C74">
        <w:rPr>
          <w:b/>
          <w:bCs/>
          <w:lang w:val="fr-CA"/>
        </w:rPr>
        <w:t xml:space="preserve"> </w:t>
      </w:r>
      <w:r w:rsidRPr="00CD3C74">
        <w:rPr>
          <w:b/>
          <w:bCs/>
          <w:lang w:val="fr-CA"/>
        </w:rPr>
        <w:t>:</w:t>
      </w:r>
      <w:r w:rsidRPr="00CD3C74">
        <w:rPr>
          <w:lang w:val="fr-CA"/>
        </w:rPr>
        <w:t xml:space="preserve"> </w:t>
      </w:r>
    </w:p>
    <w:p w:rsidR="00F33104" w:rsidRPr="00B41843" w:rsidRDefault="00DB3F3C">
      <w:pPr>
        <w:ind w:left="720" w:hanging="720"/>
      </w:pPr>
      <w:r w:rsidRPr="00B41843">
        <w:t xml:space="preserve">« </w:t>
      </w:r>
      <w:r w:rsidR="00F33104" w:rsidRPr="00B41843">
        <w:t>WINDII, the Wind Imaging Interferometer on the Upper Atmosphere Research Satellite</w:t>
      </w:r>
      <w:r w:rsidR="00F51641" w:rsidRPr="00B41843">
        <w:t xml:space="preserve"> </w:t>
      </w:r>
      <w:r w:rsidR="00E24EBD" w:rsidRPr="00B41843">
        <w:t>»</w:t>
      </w:r>
      <w:r w:rsidR="00F33104" w:rsidRPr="00B41843">
        <w:t>, G.G.</w:t>
      </w:r>
      <w:r w:rsidR="00F51641" w:rsidRPr="00B41843">
        <w:t> </w:t>
      </w:r>
      <w:r w:rsidR="00F33104" w:rsidRPr="00B41843">
        <w:t xml:space="preserve">Shepherd et al., J. </w:t>
      </w:r>
      <w:proofErr w:type="spellStart"/>
      <w:r w:rsidR="00F33104" w:rsidRPr="00B41843">
        <w:t>Geophys</w:t>
      </w:r>
      <w:proofErr w:type="spellEnd"/>
      <w:r w:rsidR="00F33104" w:rsidRPr="00B41843">
        <w:t>. Res., 98, 10725 (1993)</w:t>
      </w:r>
    </w:p>
    <w:p w:rsidR="00F33104" w:rsidRPr="00B41843" w:rsidRDefault="00DB3F3C">
      <w:pPr>
        <w:ind w:left="720" w:hanging="720"/>
      </w:pPr>
      <w:r w:rsidRPr="00B41843">
        <w:t xml:space="preserve">« </w:t>
      </w:r>
      <w:r w:rsidR="00F33104" w:rsidRPr="00B41843">
        <w:t>Validation of O(</w:t>
      </w:r>
      <w:r w:rsidR="00F33104" w:rsidRPr="00B41843">
        <w:rPr>
          <w:vertAlign w:val="superscript"/>
        </w:rPr>
        <w:t>1</w:t>
      </w:r>
      <w:r w:rsidR="00F33104" w:rsidRPr="00B41843">
        <w:t>S) Wind Measurements by WINDII: the WIND Imaging Interferometer on UARS</w:t>
      </w:r>
      <w:r w:rsidR="00E24EBD" w:rsidRPr="00B41843">
        <w:t> »</w:t>
      </w:r>
      <w:r w:rsidR="00F33104" w:rsidRPr="00B41843">
        <w:t xml:space="preserve">, W.A. Gault et al., J. </w:t>
      </w:r>
      <w:proofErr w:type="spellStart"/>
      <w:r w:rsidR="00F33104" w:rsidRPr="00B41843">
        <w:t>Geophys</w:t>
      </w:r>
      <w:proofErr w:type="spellEnd"/>
      <w:r w:rsidR="00F33104" w:rsidRPr="00B41843">
        <w:t xml:space="preserve"> Res.,</w:t>
      </w:r>
      <w:r w:rsidR="00F33104" w:rsidRPr="00B41843">
        <w:rPr>
          <w:color w:val="FF0000"/>
        </w:rPr>
        <w:t xml:space="preserve"> </w:t>
      </w:r>
      <w:r w:rsidR="00F33104" w:rsidRPr="00B41843">
        <w:rPr>
          <w:color w:val="000000"/>
        </w:rPr>
        <w:t>101, 10,405-10430 (1996)</w:t>
      </w:r>
    </w:p>
    <w:p w:rsidR="00F33104" w:rsidRPr="00B41843" w:rsidRDefault="00DB3F3C">
      <w:pPr>
        <w:suppressAutoHyphens w:val="0"/>
        <w:autoSpaceDE w:val="0"/>
        <w:ind w:left="720" w:hanging="720"/>
        <w:rPr>
          <w:rFonts w:eastAsia="Times New Roman" w:cs="Times New Roman"/>
          <w:color w:val="000000"/>
          <w:lang w:eastAsia="en-CA" w:bidi="ar-SA"/>
        </w:rPr>
      </w:pPr>
      <w:r w:rsidRPr="00B41843">
        <w:rPr>
          <w:rFonts w:eastAsia="Times New Roman" w:cs="Times New Roman"/>
          <w:color w:val="000000"/>
          <w:lang w:eastAsia="en-CA" w:bidi="ar-SA"/>
        </w:rPr>
        <w:t xml:space="preserve">« </w:t>
      </w:r>
      <w:r w:rsidR="00F33104" w:rsidRPr="00B41843">
        <w:rPr>
          <w:rFonts w:eastAsia="Times New Roman" w:cs="Times New Roman"/>
          <w:color w:val="000000"/>
          <w:lang w:eastAsia="en-CA" w:bidi="ar-SA"/>
        </w:rPr>
        <w:t>The Wind Imaging Interferometer (WINDII) on the Upper Atmosphere Research Satellite: A 20 Year Perspective</w:t>
      </w:r>
      <w:r w:rsidR="00F51641" w:rsidRPr="00B41843">
        <w:rPr>
          <w:rFonts w:eastAsia="Times New Roman" w:cs="Times New Roman"/>
          <w:color w:val="000000"/>
          <w:lang w:eastAsia="en-CA" w:bidi="ar-SA"/>
        </w:rPr>
        <w:t> </w:t>
      </w:r>
      <w:r w:rsidR="00E24EBD" w:rsidRPr="00B41843">
        <w:rPr>
          <w:rFonts w:eastAsia="Times New Roman" w:cs="Times New Roman"/>
          <w:color w:val="000000"/>
          <w:lang w:eastAsia="en-CA" w:bidi="ar-SA"/>
        </w:rPr>
        <w:t>»</w:t>
      </w:r>
      <w:r w:rsidR="00F33104" w:rsidRPr="00B41843">
        <w:rPr>
          <w:rFonts w:eastAsia="Times New Roman" w:cs="Times New Roman"/>
          <w:color w:val="000000"/>
          <w:lang w:eastAsia="en-CA" w:bidi="ar-SA"/>
        </w:rPr>
        <w:t xml:space="preserve">, G.G. Shepherd et al., Rev. </w:t>
      </w:r>
      <w:proofErr w:type="spellStart"/>
      <w:r w:rsidR="00F33104" w:rsidRPr="00B41843">
        <w:rPr>
          <w:rFonts w:eastAsia="Times New Roman" w:cs="Times New Roman"/>
          <w:color w:val="000000"/>
          <w:lang w:eastAsia="en-CA" w:bidi="ar-SA"/>
        </w:rPr>
        <w:t>Geophys</w:t>
      </w:r>
      <w:proofErr w:type="spellEnd"/>
      <w:r w:rsidR="00F33104" w:rsidRPr="00B41843">
        <w:rPr>
          <w:rFonts w:eastAsia="Times New Roman" w:cs="Times New Roman"/>
          <w:color w:val="000000"/>
          <w:lang w:eastAsia="en-CA" w:bidi="ar-SA"/>
        </w:rPr>
        <w:t xml:space="preserve">., 50, RG2007, doi:10.1029/2012RG000390 (2012). </w:t>
      </w:r>
    </w:p>
    <w:p w:rsidR="00BD1B09" w:rsidRPr="00B41843" w:rsidRDefault="00BD1B09">
      <w:pPr>
        <w:suppressAutoHyphens w:val="0"/>
        <w:autoSpaceDE w:val="0"/>
        <w:ind w:left="720" w:hanging="720"/>
        <w:rPr>
          <w:rFonts w:eastAsia="Times New Roman" w:cs="Times New Roman"/>
          <w:color w:val="000000"/>
          <w:lang w:eastAsia="en-CA" w:bidi="ar-SA"/>
        </w:rPr>
      </w:pPr>
    </w:p>
    <w:p w:rsidR="00693DCE" w:rsidRPr="00CD3C74" w:rsidRDefault="00B31B46" w:rsidP="00693DCE">
      <w:pPr>
        <w:jc w:val="both"/>
        <w:rPr>
          <w:b/>
          <w:lang w:val="fr-CA"/>
        </w:rPr>
      </w:pPr>
      <w:r w:rsidRPr="00CD3C74">
        <w:rPr>
          <w:b/>
          <w:lang w:val="fr-CA"/>
        </w:rPr>
        <w:t>Mention de source</w:t>
      </w:r>
    </w:p>
    <w:p w:rsidR="00693DCE" w:rsidRPr="00CD3C74" w:rsidRDefault="00E24EBD" w:rsidP="00693DCE">
      <w:pPr>
        <w:suppressAutoHyphens w:val="0"/>
        <w:autoSpaceDE w:val="0"/>
        <w:rPr>
          <w:rFonts w:eastAsia="Times New Roman" w:cs="Times New Roman"/>
          <w:color w:val="000000"/>
          <w:lang w:val="fr-CA" w:eastAsia="en-CA" w:bidi="ar-SA"/>
        </w:rPr>
      </w:pPr>
      <w:r>
        <w:rPr>
          <w:rFonts w:eastAsia="Times New Roman" w:cs="Times New Roman"/>
          <w:color w:val="000000"/>
          <w:lang w:val="fr-CA" w:eastAsia="en-CA" w:bidi="ar-SA"/>
        </w:rPr>
        <w:t>C</w:t>
      </w:r>
      <w:r w:rsidR="00B31B46" w:rsidRPr="00CD3C74">
        <w:rPr>
          <w:rFonts w:eastAsia="Times New Roman" w:cs="Times New Roman"/>
          <w:color w:val="000000"/>
          <w:lang w:val="fr-CA" w:eastAsia="en-CA" w:bidi="ar-SA"/>
        </w:rPr>
        <w:t>es données d</w:t>
      </w:r>
      <w:r>
        <w:rPr>
          <w:rFonts w:eastAsia="Times New Roman" w:cs="Times New Roman"/>
          <w:color w:val="000000"/>
          <w:lang w:val="fr-CA" w:eastAsia="en-CA" w:bidi="ar-SA"/>
        </w:rPr>
        <w:t>’</w:t>
      </w:r>
      <w:r w:rsidR="00B31B46" w:rsidRPr="00CD3C74">
        <w:rPr>
          <w:rFonts w:eastAsia="Times New Roman" w:cs="Times New Roman"/>
          <w:color w:val="000000"/>
          <w:lang w:val="fr-CA" w:eastAsia="en-CA" w:bidi="ar-SA"/>
        </w:rPr>
        <w:t xml:space="preserve">archives </w:t>
      </w:r>
      <w:r>
        <w:rPr>
          <w:rFonts w:eastAsia="Times New Roman" w:cs="Times New Roman"/>
          <w:color w:val="000000"/>
          <w:lang w:val="fr-CA" w:eastAsia="en-CA" w:bidi="ar-SA"/>
        </w:rPr>
        <w:t>ont été p</w:t>
      </w:r>
      <w:r w:rsidR="00B31B46" w:rsidRPr="00CD3C74">
        <w:rPr>
          <w:rFonts w:eastAsia="Times New Roman" w:cs="Times New Roman"/>
          <w:color w:val="000000"/>
          <w:lang w:val="fr-CA" w:eastAsia="en-CA" w:bidi="ar-SA"/>
        </w:rPr>
        <w:t>réparées par Young-Min Cho, Brian Solheim et Gordon Shepherd à l</w:t>
      </w:r>
      <w:r>
        <w:rPr>
          <w:rFonts w:eastAsia="Times New Roman" w:cs="Times New Roman"/>
          <w:color w:val="000000"/>
          <w:lang w:val="fr-CA" w:eastAsia="en-CA" w:bidi="ar-SA"/>
        </w:rPr>
        <w:t>’</w:t>
      </w:r>
      <w:r w:rsidR="00B31B46" w:rsidRPr="00CD3C74">
        <w:rPr>
          <w:rFonts w:eastAsia="Times New Roman" w:cs="Times New Roman"/>
          <w:color w:val="000000"/>
          <w:lang w:val="fr-CA" w:eastAsia="en-CA" w:bidi="ar-SA"/>
        </w:rPr>
        <w:t xml:space="preserve">Université York, Toronto, Canada, </w:t>
      </w:r>
      <w:r>
        <w:rPr>
          <w:rFonts w:eastAsia="Times New Roman" w:cs="Times New Roman"/>
          <w:color w:val="000000"/>
          <w:lang w:val="fr-CA" w:eastAsia="en-CA" w:bidi="ar-SA"/>
        </w:rPr>
        <w:t xml:space="preserve">dans le cadre du </w:t>
      </w:r>
      <w:r w:rsidR="00B31B46" w:rsidRPr="00CD3C74">
        <w:rPr>
          <w:rFonts w:eastAsia="Times New Roman" w:cs="Times New Roman"/>
          <w:color w:val="000000"/>
          <w:lang w:val="fr-CA" w:eastAsia="en-CA" w:bidi="ar-SA"/>
        </w:rPr>
        <w:t>numéro de contrat 45-7014058 de l</w:t>
      </w:r>
      <w:r>
        <w:rPr>
          <w:rFonts w:eastAsia="Times New Roman" w:cs="Times New Roman"/>
          <w:color w:val="000000"/>
          <w:lang w:val="fr-CA" w:eastAsia="en-CA" w:bidi="ar-SA"/>
        </w:rPr>
        <w:t>’</w:t>
      </w:r>
      <w:r w:rsidR="00B31B46" w:rsidRPr="00CD3C74">
        <w:rPr>
          <w:rFonts w:eastAsia="Times New Roman" w:cs="Times New Roman"/>
          <w:color w:val="000000"/>
          <w:lang w:val="fr-CA" w:eastAsia="en-CA" w:bidi="ar-SA"/>
        </w:rPr>
        <w:t>Agence spatiale canadienne.</w:t>
      </w:r>
    </w:p>
    <w:p w:rsidR="00BD1B09" w:rsidRPr="00CD3C74" w:rsidRDefault="00693DCE" w:rsidP="00693DCE">
      <w:pPr>
        <w:suppressAutoHyphens w:val="0"/>
        <w:autoSpaceDE w:val="0"/>
        <w:rPr>
          <w:rFonts w:eastAsia="Times New Roman" w:cs="Times New Roman"/>
          <w:color w:val="000000"/>
          <w:lang w:val="fr-CA" w:eastAsia="en-CA" w:bidi="ar-SA"/>
        </w:rPr>
      </w:pPr>
      <w:r w:rsidRPr="00CD3C74">
        <w:rPr>
          <w:rFonts w:eastAsia="Times New Roman" w:cs="Times New Roman"/>
          <w:color w:val="000000"/>
          <w:lang w:val="fr-CA" w:eastAsia="en-CA" w:bidi="ar-SA"/>
        </w:rPr>
        <w:t xml:space="preserve">  </w:t>
      </w:r>
    </w:p>
    <w:p w:rsidR="00B31B46" w:rsidRPr="00CD3C74" w:rsidRDefault="00B31B46" w:rsidP="00B31B46">
      <w:pPr>
        <w:jc w:val="both"/>
        <w:rPr>
          <w:b/>
          <w:lang w:val="fr-CA"/>
        </w:rPr>
      </w:pPr>
      <w:r w:rsidRPr="00CD3C74">
        <w:rPr>
          <w:b/>
          <w:lang w:val="fr-CA"/>
        </w:rPr>
        <w:t>Citation du jeu de données</w:t>
      </w:r>
    </w:p>
    <w:p w:rsidR="00B31B46" w:rsidRPr="00CD3C74" w:rsidRDefault="00B31B46" w:rsidP="00B31B46">
      <w:pPr>
        <w:jc w:val="both"/>
        <w:rPr>
          <w:lang w:val="fr-CA"/>
        </w:rPr>
      </w:pPr>
      <w:r w:rsidRPr="00CD3C74">
        <w:rPr>
          <w:lang w:val="fr-CA"/>
        </w:rPr>
        <w:t>Agence spatiale canadienne. Interféromètre d</w:t>
      </w:r>
      <w:r w:rsidR="00E24EBD">
        <w:rPr>
          <w:lang w:val="fr-CA"/>
        </w:rPr>
        <w:t>’</w:t>
      </w:r>
      <w:r w:rsidRPr="00CD3C74">
        <w:rPr>
          <w:lang w:val="fr-CA"/>
        </w:rPr>
        <w:t>imagerie des vents (WINDII) (2018). Information sous licence Gouvernement ouvert - Canada. [open.canada.ca] | [</w:t>
      </w:r>
      <w:hyperlink r:id="rId8" w:history="1">
        <w:r w:rsidRPr="00CD3C74">
          <w:rPr>
            <w:rStyle w:val="Hyperlink"/>
            <w:lang w:val="fr-CA"/>
          </w:rPr>
          <w:t>https://doi.org/10.xxxx/notfoo.547983</w:t>
        </w:r>
      </w:hyperlink>
      <w:r w:rsidRPr="00CD3C74">
        <w:rPr>
          <w:lang w:val="fr-CA"/>
        </w:rPr>
        <w:t>. Dernier accès le 1</w:t>
      </w:r>
      <w:r w:rsidRPr="00CD3C74">
        <w:rPr>
          <w:vertAlign w:val="superscript"/>
          <w:lang w:val="fr-CA"/>
        </w:rPr>
        <w:t>er</w:t>
      </w:r>
      <w:r w:rsidRPr="00CD3C74">
        <w:rPr>
          <w:lang w:val="fr-CA"/>
        </w:rPr>
        <w:t xml:space="preserve"> mai 2011]. Le mérite peut être accordé à l</w:t>
      </w:r>
      <w:r w:rsidR="00E24EBD">
        <w:rPr>
          <w:lang w:val="fr-CA"/>
        </w:rPr>
        <w:t>’</w:t>
      </w:r>
      <w:r w:rsidRPr="00CD3C74">
        <w:rPr>
          <w:lang w:val="fr-CA"/>
        </w:rPr>
        <w:t>équipe WINDII, basée à l</w:t>
      </w:r>
      <w:r w:rsidR="00E24EBD">
        <w:rPr>
          <w:lang w:val="fr-CA"/>
        </w:rPr>
        <w:t>’</w:t>
      </w:r>
      <w:r w:rsidRPr="00CD3C74">
        <w:rPr>
          <w:lang w:val="fr-CA"/>
        </w:rPr>
        <w:t>Université York, à l</w:t>
      </w:r>
      <w:r w:rsidR="00E24EBD">
        <w:rPr>
          <w:lang w:val="fr-CA"/>
        </w:rPr>
        <w:t>’</w:t>
      </w:r>
      <w:r w:rsidRPr="00CD3C74">
        <w:rPr>
          <w:lang w:val="fr-CA"/>
        </w:rPr>
        <w:t>Agence spatiale canadienne, au Centre national d</w:t>
      </w:r>
      <w:r w:rsidR="00E24EBD">
        <w:rPr>
          <w:lang w:val="fr-CA"/>
        </w:rPr>
        <w:t>’</w:t>
      </w:r>
      <w:r w:rsidRPr="00CD3C74">
        <w:rPr>
          <w:lang w:val="fr-CA"/>
        </w:rPr>
        <w:t xml:space="preserve">études spatiales et à la National </w:t>
      </w:r>
      <w:proofErr w:type="spellStart"/>
      <w:r w:rsidRPr="00CD3C74">
        <w:rPr>
          <w:lang w:val="fr-CA"/>
        </w:rPr>
        <w:t>Aeronautics</w:t>
      </w:r>
      <w:proofErr w:type="spellEnd"/>
      <w:r w:rsidRPr="00CD3C74">
        <w:rPr>
          <w:lang w:val="fr-CA"/>
        </w:rPr>
        <w:t xml:space="preserve"> and </w:t>
      </w:r>
      <w:proofErr w:type="spellStart"/>
      <w:r w:rsidRPr="00CD3C74">
        <w:rPr>
          <w:lang w:val="fr-CA"/>
        </w:rPr>
        <w:t>Space</w:t>
      </w:r>
      <w:proofErr w:type="spellEnd"/>
      <w:r w:rsidRPr="00CD3C74">
        <w:rPr>
          <w:lang w:val="fr-CA"/>
        </w:rPr>
        <w:t xml:space="preserve"> Administration.</w:t>
      </w:r>
    </w:p>
    <w:p w:rsidR="00BD1B09" w:rsidRPr="00CD3C74" w:rsidRDefault="00357E63" w:rsidP="00BD1B09">
      <w:pPr>
        <w:jc w:val="both"/>
        <w:rPr>
          <w:lang w:val="fr-CA"/>
        </w:rPr>
      </w:pPr>
      <w:r w:rsidRPr="00CD3C74">
        <w:rPr>
          <w:lang w:val="fr-CA"/>
        </w:rPr>
        <w:t xml:space="preserve"> </w:t>
      </w:r>
    </w:p>
    <w:p w:rsidR="00B31B46" w:rsidRPr="00CD3C74" w:rsidRDefault="00B31B46" w:rsidP="00BC1543">
      <w:pPr>
        <w:rPr>
          <w:b/>
          <w:lang w:val="fr-CA"/>
        </w:rPr>
      </w:pPr>
      <w:r w:rsidRPr="00CD3C74">
        <w:rPr>
          <w:b/>
          <w:lang w:val="fr-CA"/>
        </w:rPr>
        <w:t>Remerciement en cas d’utilisation dans des publications</w:t>
      </w:r>
    </w:p>
    <w:p w:rsidR="00B31B46" w:rsidRPr="00CD3C74" w:rsidRDefault="00B31B46" w:rsidP="00BC1543">
      <w:pPr>
        <w:rPr>
          <w:lang w:val="fr-CA"/>
        </w:rPr>
      </w:pPr>
      <w:r w:rsidRPr="00CD3C74">
        <w:rPr>
          <w:lang w:val="fr-CA"/>
        </w:rPr>
        <w:t xml:space="preserve">Les chercheurs sont invités à inclure la mention suivante dans toute publication pour laquelle les données WINDII sont utilisées : </w:t>
      </w:r>
      <w:r w:rsidR="00E24EBD">
        <w:rPr>
          <w:lang w:val="fr-CA"/>
        </w:rPr>
        <w:t xml:space="preserve">« </w:t>
      </w:r>
      <w:r w:rsidRPr="00CD3C74">
        <w:rPr>
          <w:lang w:val="fr-CA"/>
        </w:rPr>
        <w:t>Les auteurs remercient l</w:t>
      </w:r>
      <w:r w:rsidR="00E24EBD">
        <w:rPr>
          <w:lang w:val="fr-CA"/>
        </w:rPr>
        <w:t>’</w:t>
      </w:r>
      <w:r w:rsidRPr="00CD3C74">
        <w:rPr>
          <w:lang w:val="fr-CA"/>
        </w:rPr>
        <w:t>équipe WINDII, soutenue par l</w:t>
      </w:r>
      <w:r w:rsidR="00E24EBD">
        <w:rPr>
          <w:lang w:val="fr-CA"/>
        </w:rPr>
        <w:t>’</w:t>
      </w:r>
      <w:r w:rsidRPr="00CD3C74">
        <w:rPr>
          <w:lang w:val="fr-CA"/>
        </w:rPr>
        <w:t>Agence spatiale canadienne, le Centre national d</w:t>
      </w:r>
      <w:r w:rsidR="00E24EBD">
        <w:rPr>
          <w:lang w:val="fr-CA"/>
        </w:rPr>
        <w:t>’</w:t>
      </w:r>
      <w:r w:rsidRPr="00CD3C74">
        <w:rPr>
          <w:lang w:val="fr-CA"/>
        </w:rPr>
        <w:t>études spatiales et la NASA pour la fourniture des données WINDII.</w:t>
      </w:r>
      <w:r w:rsidR="00E24EBD">
        <w:rPr>
          <w:lang w:val="fr-CA"/>
        </w:rPr>
        <w:t> »</w:t>
      </w:r>
    </w:p>
    <w:p w:rsidR="00B31B46" w:rsidRPr="00CD3C74" w:rsidRDefault="00B31B46" w:rsidP="00BC1543">
      <w:pPr>
        <w:rPr>
          <w:lang w:val="fr-CA"/>
        </w:rPr>
      </w:pPr>
    </w:p>
    <w:p w:rsidR="00B31B46" w:rsidRPr="00CD3C74" w:rsidRDefault="00B31B46" w:rsidP="00BC1543">
      <w:pPr>
        <w:rPr>
          <w:b/>
          <w:lang w:val="fr-CA"/>
        </w:rPr>
      </w:pPr>
      <w:r w:rsidRPr="00CD3C74">
        <w:rPr>
          <w:b/>
          <w:lang w:val="fr-CA"/>
        </w:rPr>
        <w:t>Inscription (facultative)</w:t>
      </w:r>
    </w:p>
    <w:p w:rsidR="00B31B46" w:rsidRPr="00CD3C74" w:rsidRDefault="00B31B46" w:rsidP="00BC1543">
      <w:pPr>
        <w:rPr>
          <w:lang w:val="fr-CA"/>
        </w:rPr>
      </w:pPr>
      <w:r w:rsidRPr="00CD3C74">
        <w:rPr>
          <w:lang w:val="fr-CA"/>
        </w:rPr>
        <w:t>Les utilisateurs des données WINDII qui souhaitent recevoir des nouvelles ou des mises à jour peuvent s</w:t>
      </w:r>
      <w:r w:rsidR="00E24EBD">
        <w:rPr>
          <w:lang w:val="fr-CA"/>
        </w:rPr>
        <w:t>’</w:t>
      </w:r>
      <w:r w:rsidRPr="00CD3C74">
        <w:rPr>
          <w:lang w:val="fr-CA"/>
        </w:rPr>
        <w:t xml:space="preserve">inscrire en envoyant leurs noms par courriel à asc.gouvernementouvert-opengovernment.csa@canada.ca. Tous les renseignements personnels recueillis seront régis par la </w:t>
      </w:r>
      <w:r w:rsidRPr="00CD3C74">
        <w:rPr>
          <w:i/>
          <w:lang w:val="fr-CA"/>
        </w:rPr>
        <w:t>Loi sur la protection des renseignements personnels.</w:t>
      </w:r>
    </w:p>
    <w:p w:rsidR="00BD1B09" w:rsidRPr="00CD3C74" w:rsidRDefault="00BD1B09" w:rsidP="00BD1B09">
      <w:pPr>
        <w:jc w:val="both"/>
        <w:rPr>
          <w:lang w:val="fr-CA"/>
        </w:rPr>
      </w:pPr>
    </w:p>
    <w:p w:rsidR="00BD1B09" w:rsidRPr="00CD3C74" w:rsidRDefault="00BD1B09">
      <w:pPr>
        <w:suppressAutoHyphens w:val="0"/>
        <w:autoSpaceDE w:val="0"/>
        <w:ind w:left="720" w:hanging="720"/>
        <w:rPr>
          <w:lang w:val="fr-CA"/>
        </w:rPr>
      </w:pPr>
    </w:p>
    <w:sectPr w:rsidR="00BD1B09" w:rsidRPr="00CD3C74">
      <w:headerReference w:type="default" r:id="rId9"/>
      <w:footerReference w:type="default" r:id="rId10"/>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4F5" w:rsidRDefault="002A54F5" w:rsidP="00376076">
      <w:r>
        <w:separator/>
      </w:r>
    </w:p>
  </w:endnote>
  <w:endnote w:type="continuationSeparator" w:id="0">
    <w:p w:rsidR="002A54F5" w:rsidRDefault="002A54F5" w:rsidP="00376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ABC" w:rsidRDefault="00414ABC" w:rsidP="00414ABC">
    <w:pPr>
      <w:pStyle w:val="Footer"/>
    </w:pPr>
    <w:r>
      <w:t>© Government du</w:t>
    </w:r>
    <w:r w:rsidRPr="00376076">
      <w:t xml:space="preserve"> Canada</w:t>
    </w:r>
    <w:r>
      <w:t xml:space="preserve"> 2018</w:t>
    </w:r>
    <w:r>
      <w:tab/>
    </w:r>
    <w:r>
      <w:tab/>
      <w:t xml:space="preserve">        </w:t>
    </w:r>
    <w:sdt>
      <w:sdtPr>
        <w:id w:val="-177770230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24E1C">
          <w:rPr>
            <w:noProof/>
          </w:rPr>
          <w:t>7</w:t>
        </w:r>
        <w:r>
          <w:rPr>
            <w:noProof/>
          </w:rPr>
          <w:fldChar w:fldCharType="end"/>
        </w:r>
      </w:sdtContent>
    </w:sdt>
  </w:p>
  <w:p w:rsidR="00376076" w:rsidRPr="00376076" w:rsidRDefault="00376076" w:rsidP="00414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4F5" w:rsidRDefault="002A54F5" w:rsidP="00376076">
      <w:r>
        <w:separator/>
      </w:r>
    </w:p>
  </w:footnote>
  <w:footnote w:type="continuationSeparator" w:id="0">
    <w:p w:rsidR="002A54F5" w:rsidRDefault="002A54F5" w:rsidP="00376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843" w:rsidRDefault="00B41843">
    <w:pPr>
      <w:pStyle w:val="Header"/>
    </w:pPr>
  </w:p>
  <w:p w:rsidR="00E24EBD" w:rsidRDefault="00E24E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E1102"/>
    <w:multiLevelType w:val="hybridMultilevel"/>
    <w:tmpl w:val="1DE418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172"/>
    <w:rsid w:val="00014F06"/>
    <w:rsid w:val="00060F50"/>
    <w:rsid w:val="00077839"/>
    <w:rsid w:val="000F27E0"/>
    <w:rsid w:val="00104E86"/>
    <w:rsid w:val="00145ADD"/>
    <w:rsid w:val="001B3AD9"/>
    <w:rsid w:val="001E3D2E"/>
    <w:rsid w:val="00217D16"/>
    <w:rsid w:val="00266179"/>
    <w:rsid w:val="002A54F5"/>
    <w:rsid w:val="002A6F18"/>
    <w:rsid w:val="002D156A"/>
    <w:rsid w:val="002F20E6"/>
    <w:rsid w:val="00357E63"/>
    <w:rsid w:val="00376076"/>
    <w:rsid w:val="003A5C88"/>
    <w:rsid w:val="00414ABC"/>
    <w:rsid w:val="004F635C"/>
    <w:rsid w:val="005433F0"/>
    <w:rsid w:val="005F54ED"/>
    <w:rsid w:val="0066780C"/>
    <w:rsid w:val="00693DCE"/>
    <w:rsid w:val="006E1B3B"/>
    <w:rsid w:val="006E5C62"/>
    <w:rsid w:val="006F366E"/>
    <w:rsid w:val="007759A7"/>
    <w:rsid w:val="00780438"/>
    <w:rsid w:val="00787A5F"/>
    <w:rsid w:val="007A70BD"/>
    <w:rsid w:val="0081706E"/>
    <w:rsid w:val="008222A3"/>
    <w:rsid w:val="008B7A6B"/>
    <w:rsid w:val="008F623F"/>
    <w:rsid w:val="009352F0"/>
    <w:rsid w:val="00937A06"/>
    <w:rsid w:val="00A87DEF"/>
    <w:rsid w:val="00AA30E6"/>
    <w:rsid w:val="00AB1DE6"/>
    <w:rsid w:val="00AB770E"/>
    <w:rsid w:val="00AC43A7"/>
    <w:rsid w:val="00B055A8"/>
    <w:rsid w:val="00B24E1C"/>
    <w:rsid w:val="00B31B46"/>
    <w:rsid w:val="00B41843"/>
    <w:rsid w:val="00B41F06"/>
    <w:rsid w:val="00BC1543"/>
    <w:rsid w:val="00BD1B09"/>
    <w:rsid w:val="00C63377"/>
    <w:rsid w:val="00C82DF4"/>
    <w:rsid w:val="00CC5420"/>
    <w:rsid w:val="00CD3C74"/>
    <w:rsid w:val="00D031C2"/>
    <w:rsid w:val="00D150C4"/>
    <w:rsid w:val="00D54172"/>
    <w:rsid w:val="00D73FFC"/>
    <w:rsid w:val="00D943C6"/>
    <w:rsid w:val="00DA46E0"/>
    <w:rsid w:val="00DA5B53"/>
    <w:rsid w:val="00DB3F3C"/>
    <w:rsid w:val="00DD005C"/>
    <w:rsid w:val="00E24EBD"/>
    <w:rsid w:val="00F0257F"/>
    <w:rsid w:val="00F33104"/>
    <w:rsid w:val="00F51641"/>
    <w:rsid w:val="00F519B6"/>
    <w:rsid w:val="00F618A3"/>
    <w:rsid w:val="00FD4A58"/>
    <w:rsid w:val="00FF5C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C3D5FE2"/>
  <w15:chartTrackingRefBased/>
  <w15:docId w15:val="{CF63872B-6287-4D40-8BFC-81A02F4FC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eastAsia="Arial Unicode MS" w:cs="Arial Unicode MS"/>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40" w:line="288" w:lineRule="auto"/>
    </w:pPr>
  </w:style>
  <w:style w:type="paragraph" w:styleId="List">
    <w:name w:val="List"/>
    <w:basedOn w:val="BodyText"/>
    <w:rPr>
      <w:rFonts w:cs="Times New Roman"/>
    </w:rPr>
  </w:style>
  <w:style w:type="paragraph" w:styleId="Caption">
    <w:name w:val="caption"/>
    <w:basedOn w:val="Normal"/>
    <w:qFormat/>
    <w:pPr>
      <w:suppressLineNumbers/>
      <w:spacing w:before="120" w:after="120"/>
    </w:pPr>
    <w:rPr>
      <w:rFonts w:cs="Times New Roman"/>
      <w:i/>
      <w:iCs/>
    </w:rPr>
  </w:style>
  <w:style w:type="paragraph" w:customStyle="1" w:styleId="Index">
    <w:name w:val="Index"/>
    <w:basedOn w:val="Normal"/>
    <w:pPr>
      <w:suppressLineNumbers/>
    </w:pPr>
    <w:rPr>
      <w:rFonts w:cs="Times New Roma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Hyperlink">
    <w:name w:val="Hyperlink"/>
    <w:uiPriority w:val="99"/>
    <w:unhideWhenUsed/>
    <w:rsid w:val="00BD1B09"/>
    <w:rPr>
      <w:color w:val="0000FF"/>
      <w:u w:val="single"/>
    </w:rPr>
  </w:style>
  <w:style w:type="paragraph" w:styleId="Header">
    <w:name w:val="header"/>
    <w:basedOn w:val="Normal"/>
    <w:link w:val="HeaderChar"/>
    <w:uiPriority w:val="99"/>
    <w:unhideWhenUsed/>
    <w:rsid w:val="00376076"/>
    <w:pPr>
      <w:tabs>
        <w:tab w:val="center" w:pos="4680"/>
        <w:tab w:val="right" w:pos="9360"/>
      </w:tabs>
    </w:pPr>
    <w:rPr>
      <w:rFonts w:cs="Mangal"/>
      <w:szCs w:val="21"/>
    </w:rPr>
  </w:style>
  <w:style w:type="character" w:customStyle="1" w:styleId="HeaderChar">
    <w:name w:val="Header Char"/>
    <w:basedOn w:val="DefaultParagraphFont"/>
    <w:link w:val="Header"/>
    <w:uiPriority w:val="99"/>
    <w:rsid w:val="00376076"/>
    <w:rPr>
      <w:rFonts w:eastAsia="Arial Unicode MS" w:cs="Mangal"/>
      <w:kern w:val="1"/>
      <w:sz w:val="24"/>
      <w:szCs w:val="21"/>
      <w:lang w:eastAsia="zh-CN" w:bidi="hi-IN"/>
    </w:rPr>
  </w:style>
  <w:style w:type="paragraph" w:styleId="Footer">
    <w:name w:val="footer"/>
    <w:basedOn w:val="Normal"/>
    <w:link w:val="FooterChar"/>
    <w:uiPriority w:val="99"/>
    <w:unhideWhenUsed/>
    <w:rsid w:val="00376076"/>
    <w:pPr>
      <w:tabs>
        <w:tab w:val="center" w:pos="4680"/>
        <w:tab w:val="right" w:pos="9360"/>
      </w:tabs>
    </w:pPr>
    <w:rPr>
      <w:rFonts w:cs="Mangal"/>
      <w:szCs w:val="21"/>
    </w:rPr>
  </w:style>
  <w:style w:type="character" w:customStyle="1" w:styleId="FooterChar">
    <w:name w:val="Footer Char"/>
    <w:basedOn w:val="DefaultParagraphFont"/>
    <w:link w:val="Footer"/>
    <w:uiPriority w:val="99"/>
    <w:rsid w:val="00376076"/>
    <w:rPr>
      <w:rFonts w:eastAsia="Arial Unicode MS" w:cs="Mangal"/>
      <w:kern w:val="1"/>
      <w:sz w:val="24"/>
      <w:szCs w:val="21"/>
      <w:lang w:eastAsia="zh-CN" w:bidi="hi-IN"/>
    </w:rPr>
  </w:style>
  <w:style w:type="paragraph" w:styleId="BalloonText">
    <w:name w:val="Balloon Text"/>
    <w:basedOn w:val="Normal"/>
    <w:link w:val="BalloonTextChar"/>
    <w:uiPriority w:val="99"/>
    <w:semiHidden/>
    <w:unhideWhenUsed/>
    <w:rsid w:val="00B41843"/>
    <w:rPr>
      <w:rFonts w:ascii="Segoe UI" w:hAnsi="Segoe UI" w:cs="Mangal"/>
      <w:sz w:val="18"/>
      <w:szCs w:val="16"/>
    </w:rPr>
  </w:style>
  <w:style w:type="character" w:customStyle="1" w:styleId="BalloonTextChar">
    <w:name w:val="Balloon Text Char"/>
    <w:basedOn w:val="DefaultParagraphFont"/>
    <w:link w:val="BalloonText"/>
    <w:uiPriority w:val="99"/>
    <w:semiHidden/>
    <w:rsid w:val="00B41843"/>
    <w:rPr>
      <w:rFonts w:ascii="Segoe UI" w:eastAsia="Arial Unicode MS"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doi.org/10.xxxx/notfoo.54798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3217</Words>
  <Characters>16407</Characters>
  <Application>Microsoft Office Word</Application>
  <DocSecurity>0</DocSecurity>
  <Lines>364</Lines>
  <Paragraphs>150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19474</CharactersWithSpaces>
  <SharedDoc>false</SharedDoc>
  <HLinks>
    <vt:vector size="6" baseType="variant">
      <vt:variant>
        <vt:i4>3407912</vt:i4>
      </vt:variant>
      <vt:variant>
        <vt:i4>0</vt:i4>
      </vt:variant>
      <vt:variant>
        <vt:i4>0</vt:i4>
      </vt:variant>
      <vt:variant>
        <vt:i4>5</vt:i4>
      </vt:variant>
      <vt:variant>
        <vt:lpwstr>https://doi.org/10.xxxx/notfoo.547983. Accessed 1 May 2011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Solheim</dc:creator>
  <cp:keywords/>
  <cp:lastModifiedBy>Kwedom, Annick Yolande (ASC/CSA)</cp:lastModifiedBy>
  <cp:revision>8</cp:revision>
  <cp:lastPrinted>2018-05-31T15:16:00Z</cp:lastPrinted>
  <dcterms:created xsi:type="dcterms:W3CDTF">2018-05-31T15:37:00Z</dcterms:created>
  <dcterms:modified xsi:type="dcterms:W3CDTF">2018-05-31T15:45:00Z</dcterms:modified>
</cp:coreProperties>
</file>