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918"/>
        <w:gridCol w:w="540"/>
        <w:gridCol w:w="1344"/>
        <w:gridCol w:w="141"/>
        <w:gridCol w:w="5913"/>
      </w:tblGrid>
      <w:tr w:rsidR="00976D6F" w14:paraId="2E43FBF5" w14:textId="77777777" w:rsidTr="00D608C9">
        <w:trPr>
          <w:trHeight w:val="864"/>
        </w:trPr>
        <w:tc>
          <w:tcPr>
            <w:tcW w:w="8856" w:type="dxa"/>
            <w:gridSpan w:val="5"/>
            <w:shd w:val="clear" w:color="auto" w:fill="C0C0C0"/>
            <w:vAlign w:val="center"/>
          </w:tcPr>
          <w:p w14:paraId="70815FC5" w14:textId="77777777" w:rsidR="00976D6F" w:rsidRPr="00976D6F" w:rsidRDefault="00976D6F" w:rsidP="00976D6F">
            <w:pPr>
              <w:jc w:val="center"/>
              <w:rPr>
                <w:b/>
                <w:sz w:val="32"/>
                <w:szCs w:val="32"/>
              </w:rPr>
            </w:pPr>
            <w:r>
              <w:rPr>
                <w:b/>
                <w:sz w:val="32"/>
              </w:rPr>
              <w:t>ESSAI D’UTILISABILITÉ DE L’OEEEP</w:t>
            </w:r>
          </w:p>
        </w:tc>
      </w:tr>
      <w:tr w:rsidR="00976D6F" w14:paraId="1EAB2540" w14:textId="77777777" w:rsidTr="00D608C9">
        <w:tc>
          <w:tcPr>
            <w:tcW w:w="8856" w:type="dxa"/>
            <w:gridSpan w:val="5"/>
          </w:tcPr>
          <w:p w14:paraId="0125B55B" w14:textId="77777777" w:rsidR="00976D6F" w:rsidRPr="00976D6F" w:rsidRDefault="00976D6F">
            <w:pPr>
              <w:rPr>
                <w:sz w:val="16"/>
                <w:szCs w:val="16"/>
              </w:rPr>
            </w:pPr>
          </w:p>
        </w:tc>
      </w:tr>
      <w:tr w:rsidR="00F9149D" w14:paraId="49194A88" w14:textId="77777777" w:rsidTr="00F9149D">
        <w:tc>
          <w:tcPr>
            <w:tcW w:w="918" w:type="dxa"/>
            <w:tcBorders>
              <w:right w:val="nil"/>
            </w:tcBorders>
          </w:tcPr>
          <w:p w14:paraId="26C0BCC7" w14:textId="77777777" w:rsidR="00976D6F" w:rsidRPr="00976D6F" w:rsidRDefault="00976D6F" w:rsidP="000F039C">
            <w:pPr>
              <w:rPr>
                <w:b/>
              </w:rPr>
            </w:pPr>
            <w:r>
              <w:rPr>
                <w:b/>
              </w:rPr>
              <w:t>DATE</w:t>
            </w:r>
          </w:p>
        </w:tc>
        <w:tc>
          <w:tcPr>
            <w:tcW w:w="7938" w:type="dxa"/>
            <w:gridSpan w:val="4"/>
            <w:tcBorders>
              <w:left w:val="nil"/>
            </w:tcBorders>
          </w:tcPr>
          <w:p w14:paraId="4B16E9EF" w14:textId="77777777" w:rsidR="00976D6F" w:rsidRDefault="00976D6F">
            <w:r>
              <w:t>Mars 2012 – Juin 2012</w:t>
            </w:r>
          </w:p>
        </w:tc>
      </w:tr>
      <w:tr w:rsidR="00976D6F" w14:paraId="2A84B5C7" w14:textId="77777777" w:rsidTr="00D608C9">
        <w:tc>
          <w:tcPr>
            <w:tcW w:w="8856" w:type="dxa"/>
            <w:gridSpan w:val="5"/>
          </w:tcPr>
          <w:p w14:paraId="6A4D1753" w14:textId="77777777" w:rsidR="00976D6F" w:rsidRPr="00976D6F" w:rsidRDefault="00976D6F" w:rsidP="00D608C9">
            <w:pPr>
              <w:rPr>
                <w:b/>
                <w:sz w:val="16"/>
                <w:szCs w:val="16"/>
              </w:rPr>
            </w:pPr>
          </w:p>
        </w:tc>
      </w:tr>
      <w:tr w:rsidR="00976D6F" w14:paraId="13CB11FC" w14:textId="77777777" w:rsidTr="000F039C">
        <w:tc>
          <w:tcPr>
            <w:tcW w:w="2802" w:type="dxa"/>
            <w:gridSpan w:val="3"/>
            <w:tcBorders>
              <w:right w:val="nil"/>
            </w:tcBorders>
          </w:tcPr>
          <w:p w14:paraId="403E58FA" w14:textId="4185E340" w:rsidR="00976D6F" w:rsidRPr="00976D6F" w:rsidRDefault="00976D6F" w:rsidP="000F039C">
            <w:pPr>
              <w:rPr>
                <w:b/>
              </w:rPr>
            </w:pPr>
            <w:r>
              <w:rPr>
                <w:b/>
              </w:rPr>
              <w:t>VERSION DE</w:t>
            </w:r>
            <w:r w:rsidR="000F039C">
              <w:rPr>
                <w:b/>
              </w:rPr>
              <w:t xml:space="preserve"> </w:t>
            </w:r>
            <w:r>
              <w:rPr>
                <w:b/>
              </w:rPr>
              <w:t>L’OEEEP</w:t>
            </w:r>
          </w:p>
        </w:tc>
        <w:tc>
          <w:tcPr>
            <w:tcW w:w="6054" w:type="dxa"/>
            <w:gridSpan w:val="2"/>
            <w:tcBorders>
              <w:left w:val="nil"/>
            </w:tcBorders>
          </w:tcPr>
          <w:p w14:paraId="32E845D0" w14:textId="3E7527B6" w:rsidR="00976D6F" w:rsidRDefault="00976D6F">
            <w:r>
              <w:t>2.0</w:t>
            </w:r>
          </w:p>
        </w:tc>
      </w:tr>
      <w:tr w:rsidR="00976D6F" w14:paraId="1F71C733" w14:textId="77777777" w:rsidTr="00D608C9">
        <w:tc>
          <w:tcPr>
            <w:tcW w:w="8856" w:type="dxa"/>
            <w:gridSpan w:val="5"/>
          </w:tcPr>
          <w:p w14:paraId="707DA6B8" w14:textId="77777777" w:rsidR="00976D6F" w:rsidRPr="00976D6F" w:rsidRDefault="00976D6F" w:rsidP="00D608C9">
            <w:pPr>
              <w:rPr>
                <w:b/>
                <w:sz w:val="16"/>
                <w:szCs w:val="16"/>
              </w:rPr>
            </w:pPr>
          </w:p>
        </w:tc>
      </w:tr>
      <w:tr w:rsidR="00976D6F" w14:paraId="62D0BECF" w14:textId="77777777" w:rsidTr="000F039C">
        <w:tc>
          <w:tcPr>
            <w:tcW w:w="2943" w:type="dxa"/>
            <w:gridSpan w:val="4"/>
            <w:tcBorders>
              <w:right w:val="nil"/>
            </w:tcBorders>
          </w:tcPr>
          <w:p w14:paraId="6AF3A7CC" w14:textId="40000E10" w:rsidR="00976D6F" w:rsidRPr="00976D6F" w:rsidRDefault="001B7D37" w:rsidP="000F039C">
            <w:pPr>
              <w:rPr>
                <w:b/>
              </w:rPr>
            </w:pPr>
            <w:hyperlink r:id="rId8">
              <w:r w:rsidR="0055453C">
                <w:rPr>
                  <w:rStyle w:val="Hyperlink"/>
                  <w:b/>
                </w:rPr>
                <w:t>RAPPORT FINAL</w:t>
              </w:r>
            </w:hyperlink>
            <w:bookmarkStart w:id="0" w:name="_GoBack"/>
            <w:bookmarkEnd w:id="0"/>
            <w:r w:rsidR="0055453C">
              <w:rPr>
                <w:b/>
              </w:rPr>
              <w:t xml:space="preserve"> DATE</w:t>
            </w:r>
          </w:p>
        </w:tc>
        <w:tc>
          <w:tcPr>
            <w:tcW w:w="5913" w:type="dxa"/>
            <w:tcBorders>
              <w:left w:val="nil"/>
            </w:tcBorders>
          </w:tcPr>
          <w:p w14:paraId="207926C3" w14:textId="77777777" w:rsidR="00976D6F" w:rsidRDefault="00976D6F">
            <w:r>
              <w:t>1</w:t>
            </w:r>
            <w:r>
              <w:rPr>
                <w:vertAlign w:val="superscript"/>
              </w:rPr>
              <w:t>er</w:t>
            </w:r>
            <w:r>
              <w:t xml:space="preserve"> juin 2012</w:t>
            </w:r>
          </w:p>
        </w:tc>
      </w:tr>
      <w:tr w:rsidR="00976D6F" w14:paraId="753474E9" w14:textId="77777777" w:rsidTr="00D608C9">
        <w:tc>
          <w:tcPr>
            <w:tcW w:w="8856" w:type="dxa"/>
            <w:gridSpan w:val="5"/>
          </w:tcPr>
          <w:p w14:paraId="7D34FF56" w14:textId="77777777" w:rsidR="00976D6F" w:rsidRPr="00976D6F" w:rsidRDefault="00976D6F" w:rsidP="00D608C9">
            <w:pPr>
              <w:rPr>
                <w:sz w:val="16"/>
                <w:szCs w:val="16"/>
              </w:rPr>
            </w:pPr>
          </w:p>
        </w:tc>
      </w:tr>
      <w:tr w:rsidR="00976D6F" w14:paraId="3BBAE637" w14:textId="77777777" w:rsidTr="00F9149D">
        <w:tc>
          <w:tcPr>
            <w:tcW w:w="1458" w:type="dxa"/>
            <w:gridSpan w:val="2"/>
            <w:tcBorders>
              <w:bottom w:val="nil"/>
              <w:right w:val="nil"/>
            </w:tcBorders>
          </w:tcPr>
          <w:p w14:paraId="7875F36C" w14:textId="77777777" w:rsidR="00976D6F" w:rsidRPr="00976D6F" w:rsidRDefault="00976D6F" w:rsidP="00D608C9">
            <w:pPr>
              <w:rPr>
                <w:b/>
              </w:rPr>
            </w:pPr>
            <w:r>
              <w:rPr>
                <w:b/>
              </w:rPr>
              <w:t>RÉSUMÉ</w:t>
            </w:r>
          </w:p>
        </w:tc>
        <w:tc>
          <w:tcPr>
            <w:tcW w:w="7398" w:type="dxa"/>
            <w:gridSpan w:val="3"/>
            <w:tcBorders>
              <w:left w:val="nil"/>
              <w:bottom w:val="nil"/>
            </w:tcBorders>
          </w:tcPr>
          <w:p w14:paraId="60085BE9" w14:textId="3B10984E" w:rsidR="00976D6F" w:rsidRDefault="00976D6F" w:rsidP="000F039C">
            <w:r>
              <w:t xml:space="preserve">Réalisé l’essai d’utilisabilité pour l’interface de simulation du robot </w:t>
            </w:r>
          </w:p>
        </w:tc>
      </w:tr>
      <w:tr w:rsidR="00976D6F" w14:paraId="0FEE8DE7" w14:textId="77777777" w:rsidTr="00F9149D">
        <w:tc>
          <w:tcPr>
            <w:tcW w:w="8856" w:type="dxa"/>
            <w:gridSpan w:val="5"/>
            <w:tcBorders>
              <w:top w:val="nil"/>
            </w:tcBorders>
            <w:shd w:val="clear" w:color="auto" w:fill="auto"/>
          </w:tcPr>
          <w:p w14:paraId="0C1EAD64" w14:textId="1CAB2D33" w:rsidR="00976D6F" w:rsidRDefault="000F039C" w:rsidP="00D608C9">
            <w:r>
              <w:t xml:space="preserve">mobile sur Mars, </w:t>
            </w:r>
            <w:r w:rsidR="00D608C9">
              <w:t>l’évaluation du module de signalisation immédiate, et le module d’analyse de la performance. Évalué l’utilisabilité des tâches NC intégrées dans l’OEEEP, et récapitulé dans un tableau une description des problèmes associés à chaque tâche, recommandé des solutions et avisé si la solution audit problème était essentielle à l’essai de validation. Proposé des révisions pour les structures des fichiers (données) d’extrants des tâches, et recommandé la modification de certaines mesures de performance pour chaque tâche de l’OEEEP.</w:t>
            </w:r>
          </w:p>
        </w:tc>
      </w:tr>
      <w:tr w:rsidR="00D608C9" w14:paraId="55842D2E" w14:textId="77777777" w:rsidTr="00F9149D">
        <w:tc>
          <w:tcPr>
            <w:tcW w:w="8856" w:type="dxa"/>
            <w:gridSpan w:val="5"/>
            <w:tcBorders>
              <w:bottom w:val="single" w:sz="4" w:space="0" w:color="auto"/>
            </w:tcBorders>
          </w:tcPr>
          <w:p w14:paraId="4DC68FB7" w14:textId="77777777" w:rsidR="00D608C9" w:rsidRPr="00F9149D" w:rsidRDefault="00D608C9" w:rsidP="00D608C9">
            <w:pPr>
              <w:rPr>
                <w:sz w:val="16"/>
                <w:szCs w:val="16"/>
              </w:rPr>
            </w:pPr>
          </w:p>
        </w:tc>
      </w:tr>
      <w:tr w:rsidR="00F9149D" w14:paraId="2E9615F8" w14:textId="77777777" w:rsidTr="00F9149D">
        <w:tc>
          <w:tcPr>
            <w:tcW w:w="8856" w:type="dxa"/>
            <w:gridSpan w:val="5"/>
            <w:tcBorders>
              <w:bottom w:val="nil"/>
            </w:tcBorders>
          </w:tcPr>
          <w:p w14:paraId="4AC62569" w14:textId="31A9F3F9" w:rsidR="00F9149D" w:rsidRPr="004750B5" w:rsidRDefault="00F9149D" w:rsidP="00D608C9">
            <w:r>
              <w:rPr>
                <w:b/>
              </w:rPr>
              <w:t>MODIFICATIONS APPORTÉES AU LOGICIEL AVANT LES ESSAIS</w:t>
            </w:r>
          </w:p>
        </w:tc>
      </w:tr>
      <w:tr w:rsidR="00F9149D" w14:paraId="75CECEDD" w14:textId="77777777" w:rsidTr="00F9149D">
        <w:tc>
          <w:tcPr>
            <w:tcW w:w="8856" w:type="dxa"/>
            <w:gridSpan w:val="5"/>
            <w:tcBorders>
              <w:top w:val="nil"/>
            </w:tcBorders>
          </w:tcPr>
          <w:p w14:paraId="4ED5A95A" w14:textId="77777777" w:rsidR="00F9149D" w:rsidRDefault="00F9149D" w:rsidP="00D608C9">
            <w:r>
              <w:t>Aucune</w:t>
            </w:r>
          </w:p>
        </w:tc>
      </w:tr>
    </w:tbl>
    <w:p w14:paraId="19E2E714" w14:textId="77777777" w:rsidR="00BF2BBC" w:rsidRDefault="00BF2BBC"/>
    <w:p w14:paraId="30C7A83C" w14:textId="7B4DFABA" w:rsidR="00BF2BBC" w:rsidRDefault="00BF2BBC">
      <w:r>
        <w:br w:type="page"/>
      </w:r>
    </w:p>
    <w:tbl>
      <w:tblPr>
        <w:tblStyle w:val="TableGrid"/>
        <w:tblW w:w="0" w:type="auto"/>
        <w:tblLayout w:type="fixed"/>
        <w:tblLook w:val="04A0" w:firstRow="1" w:lastRow="0" w:firstColumn="1" w:lastColumn="0" w:noHBand="0" w:noVBand="1"/>
      </w:tblPr>
      <w:tblGrid>
        <w:gridCol w:w="1458"/>
        <w:gridCol w:w="1080"/>
        <w:gridCol w:w="972"/>
        <w:gridCol w:w="5346"/>
      </w:tblGrid>
      <w:tr w:rsidR="00BF2BBC" w14:paraId="374895BF" w14:textId="77777777" w:rsidTr="00BF2BBC">
        <w:trPr>
          <w:trHeight w:val="864"/>
        </w:trPr>
        <w:tc>
          <w:tcPr>
            <w:tcW w:w="8856" w:type="dxa"/>
            <w:gridSpan w:val="4"/>
            <w:shd w:val="clear" w:color="auto" w:fill="C0C0C0"/>
            <w:vAlign w:val="center"/>
          </w:tcPr>
          <w:p w14:paraId="768DC196" w14:textId="77777777" w:rsidR="00BF2BBC" w:rsidRPr="00976D6F" w:rsidRDefault="00BF2BBC" w:rsidP="00BF2BBC">
            <w:pPr>
              <w:jc w:val="center"/>
              <w:rPr>
                <w:b/>
                <w:sz w:val="32"/>
                <w:szCs w:val="32"/>
              </w:rPr>
            </w:pPr>
            <w:r>
              <w:rPr>
                <w:b/>
                <w:sz w:val="32"/>
              </w:rPr>
              <w:lastRenderedPageBreak/>
              <w:t>VALIDATION POUR LES TESTS NC (PARTIE 1)</w:t>
            </w:r>
          </w:p>
        </w:tc>
      </w:tr>
      <w:tr w:rsidR="00BF2BBC" w14:paraId="4A7C3058" w14:textId="77777777" w:rsidTr="00BF2BBC">
        <w:tc>
          <w:tcPr>
            <w:tcW w:w="8856" w:type="dxa"/>
            <w:gridSpan w:val="4"/>
          </w:tcPr>
          <w:p w14:paraId="76A59CC5" w14:textId="77777777" w:rsidR="00BF2BBC" w:rsidRPr="00976D6F" w:rsidRDefault="00BF2BBC" w:rsidP="00BF2BBC">
            <w:pPr>
              <w:rPr>
                <w:sz w:val="16"/>
                <w:szCs w:val="16"/>
              </w:rPr>
            </w:pPr>
          </w:p>
        </w:tc>
      </w:tr>
      <w:tr w:rsidR="0099371D" w14:paraId="54312898" w14:textId="77777777" w:rsidTr="0099371D">
        <w:tc>
          <w:tcPr>
            <w:tcW w:w="2538" w:type="dxa"/>
            <w:gridSpan w:val="2"/>
            <w:tcBorders>
              <w:right w:val="nil"/>
            </w:tcBorders>
          </w:tcPr>
          <w:p w14:paraId="195786B3" w14:textId="77777777" w:rsidR="00BF2BBC" w:rsidRPr="00976D6F" w:rsidRDefault="00BF2BBC" w:rsidP="0099371D">
            <w:pPr>
              <w:rPr>
                <w:b/>
              </w:rPr>
            </w:pPr>
            <w:r>
              <w:rPr>
                <w:b/>
              </w:rPr>
              <w:t>DATE</w:t>
            </w:r>
          </w:p>
        </w:tc>
        <w:tc>
          <w:tcPr>
            <w:tcW w:w="6318" w:type="dxa"/>
            <w:gridSpan w:val="2"/>
            <w:tcBorders>
              <w:left w:val="nil"/>
            </w:tcBorders>
          </w:tcPr>
          <w:p w14:paraId="4DD735A0" w14:textId="77777777" w:rsidR="00BF2BBC" w:rsidRDefault="00BF2BBC" w:rsidP="00BF2BBC">
            <w:r>
              <w:t>Octobre 2012 – Août 2013</w:t>
            </w:r>
          </w:p>
        </w:tc>
      </w:tr>
      <w:tr w:rsidR="00BF2BBC" w14:paraId="0031BD2A" w14:textId="77777777" w:rsidTr="00BF2BBC">
        <w:tc>
          <w:tcPr>
            <w:tcW w:w="8856" w:type="dxa"/>
            <w:gridSpan w:val="4"/>
          </w:tcPr>
          <w:p w14:paraId="7CEF3784" w14:textId="77777777" w:rsidR="00BF2BBC" w:rsidRPr="00976D6F" w:rsidRDefault="00BF2BBC" w:rsidP="0099371D">
            <w:pPr>
              <w:rPr>
                <w:b/>
                <w:sz w:val="16"/>
                <w:szCs w:val="16"/>
              </w:rPr>
            </w:pPr>
          </w:p>
        </w:tc>
      </w:tr>
      <w:tr w:rsidR="0099371D" w14:paraId="5802B36B" w14:textId="77777777" w:rsidTr="0099371D">
        <w:tc>
          <w:tcPr>
            <w:tcW w:w="2538" w:type="dxa"/>
            <w:gridSpan w:val="2"/>
            <w:tcBorders>
              <w:right w:val="nil"/>
            </w:tcBorders>
          </w:tcPr>
          <w:p w14:paraId="0F32B1A1" w14:textId="77777777" w:rsidR="00BF2BBC" w:rsidRPr="00976D6F" w:rsidRDefault="00BF2BBC" w:rsidP="0099371D">
            <w:pPr>
              <w:rPr>
                <w:b/>
              </w:rPr>
            </w:pPr>
            <w:r>
              <w:rPr>
                <w:b/>
              </w:rPr>
              <w:t>VERSION DE L’OEEEP</w:t>
            </w:r>
          </w:p>
        </w:tc>
        <w:tc>
          <w:tcPr>
            <w:tcW w:w="6318" w:type="dxa"/>
            <w:gridSpan w:val="2"/>
            <w:tcBorders>
              <w:left w:val="nil"/>
            </w:tcBorders>
          </w:tcPr>
          <w:p w14:paraId="26D517E7" w14:textId="0D39B549" w:rsidR="00BF2BBC" w:rsidRDefault="00BF2BBC" w:rsidP="00BF2BBC">
            <w:r>
              <w:t>3.0</w:t>
            </w:r>
          </w:p>
        </w:tc>
      </w:tr>
      <w:tr w:rsidR="00BF2BBC" w14:paraId="63D97864" w14:textId="77777777" w:rsidTr="00BF2BBC">
        <w:tc>
          <w:tcPr>
            <w:tcW w:w="8856" w:type="dxa"/>
            <w:gridSpan w:val="4"/>
          </w:tcPr>
          <w:p w14:paraId="7AA9EC41" w14:textId="77777777" w:rsidR="00BF2BBC" w:rsidRPr="00976D6F" w:rsidRDefault="00BF2BBC" w:rsidP="0099371D">
            <w:pPr>
              <w:rPr>
                <w:b/>
                <w:sz w:val="16"/>
                <w:szCs w:val="16"/>
              </w:rPr>
            </w:pPr>
          </w:p>
        </w:tc>
      </w:tr>
      <w:tr w:rsidR="0099371D" w14:paraId="2530F0D5" w14:textId="77777777" w:rsidTr="000F039C">
        <w:tc>
          <w:tcPr>
            <w:tcW w:w="3510" w:type="dxa"/>
            <w:gridSpan w:val="3"/>
            <w:tcBorders>
              <w:right w:val="nil"/>
            </w:tcBorders>
          </w:tcPr>
          <w:p w14:paraId="28EC7B0E" w14:textId="2823E8A4" w:rsidR="00BF2BBC" w:rsidRPr="00976D6F" w:rsidRDefault="001B7D37" w:rsidP="0099371D">
            <w:pPr>
              <w:rPr>
                <w:b/>
              </w:rPr>
            </w:pPr>
            <w:hyperlink r:id="rId9">
              <w:r w:rsidR="0055453C">
                <w:rPr>
                  <w:rStyle w:val="Hyperlink"/>
                  <w:b/>
                </w:rPr>
                <w:t>DATE DU RAPPORT FINAL</w:t>
              </w:r>
            </w:hyperlink>
          </w:p>
        </w:tc>
        <w:tc>
          <w:tcPr>
            <w:tcW w:w="5346" w:type="dxa"/>
            <w:tcBorders>
              <w:left w:val="nil"/>
            </w:tcBorders>
          </w:tcPr>
          <w:p w14:paraId="1339A30D" w14:textId="77777777" w:rsidR="00BF2BBC" w:rsidRDefault="000B66E0" w:rsidP="00BF2BBC">
            <w:r>
              <w:t>30 août 2013</w:t>
            </w:r>
          </w:p>
        </w:tc>
      </w:tr>
      <w:tr w:rsidR="00BF2BBC" w14:paraId="009E4046" w14:textId="77777777" w:rsidTr="00BF2BBC">
        <w:tc>
          <w:tcPr>
            <w:tcW w:w="8856" w:type="dxa"/>
            <w:gridSpan w:val="4"/>
          </w:tcPr>
          <w:p w14:paraId="6193DD50" w14:textId="77777777" w:rsidR="00BF2BBC" w:rsidRPr="00976D6F" w:rsidRDefault="00BF2BBC" w:rsidP="00BF2BBC">
            <w:pPr>
              <w:rPr>
                <w:sz w:val="16"/>
                <w:szCs w:val="16"/>
              </w:rPr>
            </w:pPr>
          </w:p>
        </w:tc>
      </w:tr>
      <w:tr w:rsidR="0099371D" w14:paraId="125CB62D" w14:textId="77777777" w:rsidTr="0099371D">
        <w:tc>
          <w:tcPr>
            <w:tcW w:w="1458" w:type="dxa"/>
            <w:tcBorders>
              <w:bottom w:val="nil"/>
              <w:right w:val="nil"/>
            </w:tcBorders>
          </w:tcPr>
          <w:p w14:paraId="52147AB8" w14:textId="77777777" w:rsidR="00BF2BBC" w:rsidRPr="00976D6F" w:rsidRDefault="00BF2BBC" w:rsidP="00BF2BBC">
            <w:pPr>
              <w:rPr>
                <w:b/>
              </w:rPr>
            </w:pPr>
            <w:r>
              <w:rPr>
                <w:b/>
              </w:rPr>
              <w:t>RÉSUMÉ</w:t>
            </w:r>
          </w:p>
        </w:tc>
        <w:tc>
          <w:tcPr>
            <w:tcW w:w="7398" w:type="dxa"/>
            <w:gridSpan w:val="3"/>
            <w:tcBorders>
              <w:left w:val="nil"/>
              <w:bottom w:val="nil"/>
            </w:tcBorders>
          </w:tcPr>
          <w:p w14:paraId="76B4D502" w14:textId="6DF1B8F1" w:rsidR="00BF2BBC" w:rsidRDefault="000B66E0" w:rsidP="00BF2BBC">
            <w:r>
              <w:t xml:space="preserve">Réalisé une première évaluation du logiciel </w:t>
            </w:r>
            <w:r w:rsidR="000F039C">
              <w:t>O</w:t>
            </w:r>
            <w:r>
              <w:t>EEEP (n=50) concernant</w:t>
            </w:r>
          </w:p>
        </w:tc>
      </w:tr>
      <w:tr w:rsidR="00BF2BBC" w14:paraId="79D83295" w14:textId="77777777" w:rsidTr="00BF2BBC">
        <w:tc>
          <w:tcPr>
            <w:tcW w:w="8856" w:type="dxa"/>
            <w:gridSpan w:val="4"/>
            <w:tcBorders>
              <w:top w:val="nil"/>
            </w:tcBorders>
            <w:shd w:val="clear" w:color="auto" w:fill="auto"/>
          </w:tcPr>
          <w:p w14:paraId="09C586FC" w14:textId="5B08731C" w:rsidR="00BF2BBC" w:rsidRDefault="000B66E0" w:rsidP="009A6D60">
            <w:r>
              <w:t>plusieurs tests NC normalisés, notamment les tests DKEFS, PASAT, PVT, TOVA, et sélectionné un groupe de sous-tests pour les tests généraux WAIS-IV et WMS-IV. Récapitulé dans un tableau les indicateurs de performance pour chaque tâche intégrée dans l’OEEEP, les tâches non nominales de l’OEEEP, ainsi que les tests NC normalisés. Répertorié les résultats d’une kyrielle d’analyses corrélationnelles exploratoires et planifiées entre les tâches NC de l’OEEEP et les tests NC normalisés dans un tableau synoptique de corrélation, ainsi que dans une matrice de recoupement des tâches afin de relever les redondances éventuelles dans les tâches intégrées dans l’OEEEP. Recommandé plusieurs modifications aux tâches NC intégrées dans l’OEEEP, notamment l’augmentation de la quantité de calculs mentaux pour la tâche Réaliser les calculs relatifs à la mission</w:t>
            </w:r>
            <w:r w:rsidR="009A6D60">
              <w:t xml:space="preserve"> PMRCT</w:t>
            </w:r>
            <w:r>
              <w:t xml:space="preserve"> ainsi que la suppression/remplacement de la tâche Planification du parcours (PT). </w:t>
            </w:r>
          </w:p>
        </w:tc>
      </w:tr>
      <w:tr w:rsidR="007E58F1" w14:paraId="5B96A7A3" w14:textId="77777777" w:rsidTr="00BF2BBC">
        <w:tc>
          <w:tcPr>
            <w:tcW w:w="8856" w:type="dxa"/>
            <w:gridSpan w:val="4"/>
            <w:tcBorders>
              <w:top w:val="nil"/>
            </w:tcBorders>
            <w:shd w:val="clear" w:color="auto" w:fill="auto"/>
          </w:tcPr>
          <w:p w14:paraId="71300E04" w14:textId="77777777" w:rsidR="007E58F1" w:rsidRPr="007E58F1" w:rsidRDefault="007E58F1" w:rsidP="000B66E0">
            <w:pPr>
              <w:rPr>
                <w:sz w:val="16"/>
                <w:szCs w:val="16"/>
              </w:rPr>
            </w:pPr>
          </w:p>
        </w:tc>
      </w:tr>
      <w:tr w:rsidR="007E58F1" w14:paraId="1FEC6430" w14:textId="77777777" w:rsidTr="00BF2BBC">
        <w:tc>
          <w:tcPr>
            <w:tcW w:w="8856" w:type="dxa"/>
            <w:gridSpan w:val="4"/>
            <w:tcBorders>
              <w:top w:val="nil"/>
            </w:tcBorders>
            <w:shd w:val="clear" w:color="auto" w:fill="auto"/>
          </w:tcPr>
          <w:p w14:paraId="3DBD3D7B" w14:textId="7FB07077" w:rsidR="007E58F1" w:rsidRPr="007E58F1" w:rsidRDefault="001B7D37" w:rsidP="000B66E0">
            <w:pPr>
              <w:rPr>
                <w:b/>
              </w:rPr>
            </w:pPr>
            <w:hyperlink r:id="rId10">
              <w:r w:rsidR="0055453C">
                <w:rPr>
                  <w:rStyle w:val="Hyperlink"/>
                  <w:b/>
                </w:rPr>
                <w:t>FICHIERS DES ANALYSES</w:t>
              </w:r>
            </w:hyperlink>
          </w:p>
        </w:tc>
      </w:tr>
      <w:tr w:rsidR="00BF2BBC" w14:paraId="4921EADF" w14:textId="77777777" w:rsidTr="004750B5">
        <w:tc>
          <w:tcPr>
            <w:tcW w:w="8856" w:type="dxa"/>
            <w:gridSpan w:val="4"/>
            <w:tcBorders>
              <w:bottom w:val="single" w:sz="4" w:space="0" w:color="auto"/>
            </w:tcBorders>
          </w:tcPr>
          <w:p w14:paraId="76197171" w14:textId="77777777" w:rsidR="00BF2BBC" w:rsidRPr="00F9149D" w:rsidRDefault="00BF2BBC" w:rsidP="00BF2BBC">
            <w:pPr>
              <w:rPr>
                <w:sz w:val="16"/>
                <w:szCs w:val="16"/>
              </w:rPr>
            </w:pPr>
          </w:p>
        </w:tc>
      </w:tr>
      <w:tr w:rsidR="00BF2BBC" w14:paraId="62718225" w14:textId="77777777" w:rsidTr="004750B5">
        <w:tc>
          <w:tcPr>
            <w:tcW w:w="8856" w:type="dxa"/>
            <w:gridSpan w:val="4"/>
            <w:tcBorders>
              <w:bottom w:val="nil"/>
            </w:tcBorders>
          </w:tcPr>
          <w:p w14:paraId="353C395D" w14:textId="6001714B" w:rsidR="00BF2BBC" w:rsidRPr="004750B5" w:rsidRDefault="00BF2BBC" w:rsidP="004750B5">
            <w:r>
              <w:rPr>
                <w:b/>
              </w:rPr>
              <w:t>MODIFICATIONS APPORTÉES AU LOGICIEL AVANT LES ESSAIS</w:t>
            </w:r>
          </w:p>
        </w:tc>
      </w:tr>
      <w:tr w:rsidR="0099371D" w14:paraId="170A2695" w14:textId="77777777" w:rsidTr="004750B5">
        <w:tc>
          <w:tcPr>
            <w:tcW w:w="1458" w:type="dxa"/>
            <w:tcBorders>
              <w:top w:val="nil"/>
            </w:tcBorders>
            <w:vAlign w:val="center"/>
          </w:tcPr>
          <w:p w14:paraId="4B81ED2C" w14:textId="52749FCD" w:rsidR="00F239CE" w:rsidRPr="00F239CE" w:rsidRDefault="00F239CE" w:rsidP="0099371D">
            <w:pPr>
              <w:jc w:val="center"/>
            </w:pPr>
            <w:r>
              <w:t>Utilisabilité générale</w:t>
            </w:r>
          </w:p>
        </w:tc>
        <w:tc>
          <w:tcPr>
            <w:tcW w:w="7398" w:type="dxa"/>
            <w:gridSpan w:val="3"/>
            <w:tcBorders>
              <w:top w:val="nil"/>
            </w:tcBorders>
          </w:tcPr>
          <w:p w14:paraId="50B9E2CD" w14:textId="072E795D" w:rsidR="00F239CE" w:rsidRPr="00F239CE" w:rsidRDefault="00F239CE" w:rsidP="00F239CE">
            <w:pPr>
              <w:pStyle w:val="ListParagraph"/>
              <w:numPr>
                <w:ilvl w:val="0"/>
                <w:numId w:val="2"/>
              </w:numPr>
              <w:rPr>
                <w:b/>
                <w:u w:val="single"/>
              </w:rPr>
            </w:pPr>
            <w:r>
              <w:t xml:space="preserve">Les messages invitant à commencer la phase suivante de la mission n’apparaîtront plus lorsqu’un test NC est en cours ou lorsque des données sont transférées vers le site </w:t>
            </w:r>
            <w:r w:rsidR="001B61F5">
              <w:t>ISRU</w:t>
            </w:r>
          </w:p>
          <w:p w14:paraId="447E8A90" w14:textId="5D526E94" w:rsidR="00F239CE" w:rsidRPr="00F239CE" w:rsidRDefault="00F239CE" w:rsidP="00F239CE">
            <w:pPr>
              <w:pStyle w:val="ListParagraph"/>
              <w:numPr>
                <w:ilvl w:val="0"/>
                <w:numId w:val="2"/>
              </w:numPr>
              <w:rPr>
                <w:b/>
                <w:u w:val="single"/>
              </w:rPr>
            </w:pPr>
            <w:r>
              <w:t xml:space="preserve">Les itinéraires de conduite ne sont plus générés au hasard. En revanche, 30 itinéraires ont été mis en œuvre avec l’établissement de lieux de départ, lieux de sites d’extraction et lieux de sites </w:t>
            </w:r>
            <w:r w:rsidR="001B61F5">
              <w:t>ISRU</w:t>
            </w:r>
            <w:r>
              <w:t>. Une option est désormais fournie pour sélectionner l’un des 30 itinéraires pour l’entraînement ou des scenari</w:t>
            </w:r>
            <w:r w:rsidR="001B61F5">
              <w:t>os</w:t>
            </w:r>
            <w:r>
              <w:t xml:space="preserve"> de missions.</w:t>
            </w:r>
          </w:p>
          <w:p w14:paraId="0FD85D82" w14:textId="77777777" w:rsidR="00F239CE" w:rsidRPr="00F239CE" w:rsidRDefault="00F239CE" w:rsidP="00F239CE">
            <w:pPr>
              <w:pStyle w:val="ListParagraph"/>
              <w:numPr>
                <w:ilvl w:val="0"/>
                <w:numId w:val="2"/>
              </w:numPr>
              <w:rPr>
                <w:b/>
                <w:u w:val="single"/>
              </w:rPr>
            </w:pPr>
            <w:r>
              <w:t>Les messages des tests NC ainsi que le texte des renseignements sur la mission s’affichent désormais en jaune sur fond noir.</w:t>
            </w:r>
          </w:p>
          <w:p w14:paraId="33E38BD0" w14:textId="77777777" w:rsidR="00F239CE" w:rsidRPr="00F239CE" w:rsidRDefault="00F239CE" w:rsidP="00F239CE">
            <w:pPr>
              <w:pStyle w:val="ListParagraph"/>
              <w:numPr>
                <w:ilvl w:val="0"/>
                <w:numId w:val="2"/>
              </w:numPr>
              <w:rPr>
                <w:b/>
                <w:u w:val="single"/>
              </w:rPr>
            </w:pPr>
            <w:r>
              <w:t xml:space="preserve">Les instructions pour la tâche d’extraction de roches ont été modifiées, en vue d’indiquer que l’articulation du bras du robot mobile doit être activée en appuyant sur le chiffre du clavier correspondant, mais qu’il n’est pas nécessaire de maintenir la touche enfoncée. </w:t>
            </w:r>
          </w:p>
          <w:p w14:paraId="232B0738" w14:textId="115B1807" w:rsidR="00F239CE" w:rsidRPr="00F239CE" w:rsidRDefault="00F239CE" w:rsidP="00F239CE">
            <w:pPr>
              <w:pStyle w:val="ListParagraph"/>
              <w:numPr>
                <w:ilvl w:val="0"/>
                <w:numId w:val="2"/>
              </w:numPr>
              <w:rPr>
                <w:b/>
                <w:u w:val="single"/>
              </w:rPr>
            </w:pPr>
            <w:r>
              <w:t>Les messages sans importance relatifs aux scenari</w:t>
            </w:r>
            <w:r w:rsidR="00BC0D7A">
              <w:t>os</w:t>
            </w:r>
            <w:r>
              <w:t xml:space="preserve"> (par ex.,</w:t>
            </w:r>
            <w:r w:rsidR="001254E4">
              <w:t xml:space="preserve"> « </w:t>
            </w:r>
            <w:proofErr w:type="spellStart"/>
            <w:r w:rsidR="001254E4">
              <w:t>Nav</w:t>
            </w:r>
            <w:proofErr w:type="spellEnd"/>
            <w:r w:rsidR="001254E4">
              <w:t xml:space="preserve"> Cam Photo </w:t>
            </w:r>
            <w:proofErr w:type="spellStart"/>
            <w:r w:rsidR="001254E4">
              <w:t>Mosaic</w:t>
            </w:r>
            <w:proofErr w:type="spellEnd"/>
            <w:r w:rsidR="001254E4">
              <w:t xml:space="preserve"> ») </w:t>
            </w:r>
            <w:r>
              <w:t>ont été supprimés.</w:t>
            </w:r>
          </w:p>
          <w:p w14:paraId="347AAFB4" w14:textId="77777777" w:rsidR="00F239CE" w:rsidRPr="00F239CE" w:rsidRDefault="00F239CE" w:rsidP="00F239CE">
            <w:pPr>
              <w:pStyle w:val="ListParagraph"/>
              <w:numPr>
                <w:ilvl w:val="0"/>
                <w:numId w:val="2"/>
              </w:numPr>
              <w:rPr>
                <w:b/>
                <w:u w:val="single"/>
              </w:rPr>
            </w:pPr>
            <w:r>
              <w:t>L’option de passer en ‘God Mode’ sur l’appareil photo, utilisée dans le jeu original ‘Race to Mars’, a été désactivée.</w:t>
            </w:r>
          </w:p>
          <w:p w14:paraId="31CFAF1B" w14:textId="77777777" w:rsidR="00F239CE" w:rsidRPr="00F239CE" w:rsidRDefault="00F239CE" w:rsidP="00F239CE">
            <w:pPr>
              <w:pStyle w:val="ListParagraph"/>
              <w:numPr>
                <w:ilvl w:val="0"/>
                <w:numId w:val="2"/>
              </w:numPr>
              <w:rPr>
                <w:b/>
                <w:u w:val="single"/>
              </w:rPr>
            </w:pPr>
            <w:r>
              <w:t xml:space="preserve">Les touches de raccourci pour les champs de l’appareil photo ont </w:t>
            </w:r>
            <w:r>
              <w:lastRenderedPageBreak/>
              <w:t>été désactivées pour les tâches d’extraction de roches et de transfert de données.</w:t>
            </w:r>
          </w:p>
          <w:p w14:paraId="040830B1" w14:textId="602D98AF" w:rsidR="00F239CE" w:rsidRPr="0099371D" w:rsidRDefault="00F239CE" w:rsidP="00F239CE">
            <w:pPr>
              <w:pStyle w:val="ListParagraph"/>
              <w:numPr>
                <w:ilvl w:val="0"/>
                <w:numId w:val="2"/>
              </w:numPr>
              <w:rPr>
                <w:b/>
                <w:u w:val="single"/>
              </w:rPr>
            </w:pPr>
            <w:r>
              <w:t xml:space="preserve">Le code a été modifié afin de permettre à la tâche de transfert de données de se poursuivre même quand le témoin d’erreur d’angle au site </w:t>
            </w:r>
            <w:r w:rsidR="001B61F5">
              <w:t>ISRU</w:t>
            </w:r>
            <w:r>
              <w:t xml:space="preserve"> indique « 0 » pour tenir compte des erreurs d’arrondis.</w:t>
            </w:r>
          </w:p>
          <w:p w14:paraId="76E37ACA" w14:textId="77777777" w:rsidR="0099371D" w:rsidRPr="0099371D" w:rsidRDefault="0099371D" w:rsidP="00F239CE">
            <w:pPr>
              <w:pStyle w:val="ListParagraph"/>
              <w:numPr>
                <w:ilvl w:val="0"/>
                <w:numId w:val="2"/>
              </w:numPr>
              <w:rPr>
                <w:b/>
                <w:u w:val="single"/>
              </w:rPr>
            </w:pPr>
            <w:r>
              <w:t>L’utilisateur peut désormais appuyer sur la touche M pour passer de la petite carte en temps réel à la grande carte générale.</w:t>
            </w:r>
          </w:p>
          <w:p w14:paraId="42253B2A" w14:textId="77777777" w:rsidR="0099371D" w:rsidRPr="0099371D" w:rsidRDefault="0099371D" w:rsidP="00F239CE">
            <w:pPr>
              <w:pStyle w:val="ListParagraph"/>
              <w:numPr>
                <w:ilvl w:val="0"/>
                <w:numId w:val="2"/>
              </w:numPr>
              <w:rPr>
                <w:b/>
                <w:u w:val="single"/>
              </w:rPr>
            </w:pPr>
            <w:r>
              <w:t>Les erreurs d’alignement latéral du robot mobile au site URSI apparaissent désormais avec le témoin des erreurs longitudinales.</w:t>
            </w:r>
          </w:p>
          <w:p w14:paraId="19A51571" w14:textId="36AE3C7F" w:rsidR="0099371D" w:rsidRPr="0099371D" w:rsidRDefault="0099371D" w:rsidP="00F239CE">
            <w:pPr>
              <w:pStyle w:val="ListParagraph"/>
              <w:numPr>
                <w:ilvl w:val="0"/>
                <w:numId w:val="2"/>
              </w:numPr>
              <w:rPr>
                <w:b/>
                <w:u w:val="single"/>
              </w:rPr>
            </w:pPr>
            <w:r>
              <w:t>La taille et les clignotements du message «</w:t>
            </w:r>
            <w:r w:rsidR="001254E4">
              <w:t xml:space="preserve"> </w:t>
            </w:r>
            <w:proofErr w:type="spellStart"/>
            <w:r w:rsidR="001254E4">
              <w:t>Wheels</w:t>
            </w:r>
            <w:proofErr w:type="spellEnd"/>
            <w:r w:rsidR="001254E4">
              <w:t xml:space="preserve"> </w:t>
            </w:r>
            <w:proofErr w:type="spellStart"/>
            <w:r w:rsidR="001254E4">
              <w:t>Stuck</w:t>
            </w:r>
            <w:proofErr w:type="spellEnd"/>
            <w:r>
              <w:t>» ont été agrandis. Une option permettant de désactiver la fonctionnalité des roues bloquées a été ajoutée au fichier de configuration.</w:t>
            </w:r>
          </w:p>
          <w:p w14:paraId="0AF80DBC" w14:textId="642B9315" w:rsidR="0099371D" w:rsidRPr="0099371D" w:rsidRDefault="0099371D" w:rsidP="00F239CE">
            <w:pPr>
              <w:pStyle w:val="ListParagraph"/>
              <w:numPr>
                <w:ilvl w:val="0"/>
                <w:numId w:val="2"/>
              </w:numPr>
              <w:rPr>
                <w:b/>
                <w:u w:val="single"/>
              </w:rPr>
            </w:pPr>
            <w:r>
              <w:t xml:space="preserve">Le message </w:t>
            </w:r>
            <w:r w:rsidR="00BC0D7A">
              <w:t>‘</w:t>
            </w:r>
            <w:r>
              <w:t>Prime de courant</w:t>
            </w:r>
            <w:r w:rsidR="00BC0D7A">
              <w:t>’</w:t>
            </w:r>
            <w:r>
              <w:t xml:space="preserve"> a été supprimé lorsque l’utilisateur engrange une prime de courant.</w:t>
            </w:r>
          </w:p>
          <w:p w14:paraId="19000B28" w14:textId="77777777" w:rsidR="0099371D" w:rsidRPr="0099371D" w:rsidRDefault="0099371D" w:rsidP="00F239CE">
            <w:pPr>
              <w:pStyle w:val="ListParagraph"/>
              <w:numPr>
                <w:ilvl w:val="0"/>
                <w:numId w:val="2"/>
              </w:numPr>
              <w:rPr>
                <w:b/>
                <w:u w:val="single"/>
              </w:rPr>
            </w:pPr>
            <w:r>
              <w:t>La taille des multiples fenêtres des champs de l’appareil photo ont été réduites de 10 %.</w:t>
            </w:r>
          </w:p>
          <w:p w14:paraId="7A5F15C8" w14:textId="77777777" w:rsidR="0099371D" w:rsidRPr="0099371D" w:rsidRDefault="0099371D" w:rsidP="00F239CE">
            <w:pPr>
              <w:pStyle w:val="ListParagraph"/>
              <w:numPr>
                <w:ilvl w:val="0"/>
                <w:numId w:val="2"/>
              </w:numPr>
              <w:rPr>
                <w:b/>
                <w:u w:val="single"/>
              </w:rPr>
            </w:pPr>
            <w:r>
              <w:t>Le curseur de la souris, qui apparaissait comme un grand cercle avec un remplissage rouge semi transparent, a été désactivé.</w:t>
            </w:r>
          </w:p>
          <w:p w14:paraId="30C350C5" w14:textId="77777777" w:rsidR="0099371D" w:rsidRPr="0099371D" w:rsidRDefault="0099371D" w:rsidP="00F239CE">
            <w:pPr>
              <w:pStyle w:val="ListParagraph"/>
              <w:numPr>
                <w:ilvl w:val="0"/>
                <w:numId w:val="2"/>
              </w:numPr>
              <w:rPr>
                <w:b/>
                <w:u w:val="single"/>
              </w:rPr>
            </w:pPr>
            <w:r>
              <w:t>La vélocité du mécanisme d’entraînement supérieur du robot mobile a été réduite. Un facteur de réduction de vitesse (par ex., 0,5 = 50 % réduction) a été ajouté au fichier de configuration.</w:t>
            </w:r>
          </w:p>
          <w:p w14:paraId="04CB7CC5" w14:textId="51D2F53E" w:rsidR="0099371D" w:rsidRPr="0099371D" w:rsidRDefault="0099371D" w:rsidP="00F239CE">
            <w:pPr>
              <w:pStyle w:val="ListParagraph"/>
              <w:numPr>
                <w:ilvl w:val="0"/>
                <w:numId w:val="2"/>
              </w:numPr>
              <w:rPr>
                <w:b/>
                <w:u w:val="single"/>
              </w:rPr>
            </w:pPr>
            <w:r>
              <w:t>L’entrée de la souris a été désactivée pour l’entraînement et les scenari</w:t>
            </w:r>
            <w:r w:rsidR="00BC0D7A">
              <w:t>os</w:t>
            </w:r>
            <w:r>
              <w:t xml:space="preserve"> de missions.</w:t>
            </w:r>
          </w:p>
          <w:p w14:paraId="50D85A39" w14:textId="0D7E322A" w:rsidR="0099371D" w:rsidRPr="00F239CE" w:rsidRDefault="0099371D" w:rsidP="00F239CE">
            <w:pPr>
              <w:pStyle w:val="ListParagraph"/>
              <w:numPr>
                <w:ilvl w:val="0"/>
                <w:numId w:val="2"/>
              </w:numPr>
              <w:rPr>
                <w:b/>
                <w:u w:val="single"/>
              </w:rPr>
            </w:pPr>
            <w:r>
              <w:t>Les fourchettes de durée de veille ont été modifiées pour garantir l’usage correct des symboles « &gt; » et « &lt; ».</w:t>
            </w:r>
          </w:p>
        </w:tc>
      </w:tr>
      <w:tr w:rsidR="0099371D" w14:paraId="09C617D8" w14:textId="77777777" w:rsidTr="0099371D">
        <w:tc>
          <w:tcPr>
            <w:tcW w:w="1458" w:type="dxa"/>
            <w:vAlign w:val="center"/>
          </w:tcPr>
          <w:p w14:paraId="6C8739B7" w14:textId="0F8D6F45" w:rsidR="0099371D" w:rsidRDefault="0099371D" w:rsidP="0099371D">
            <w:pPr>
              <w:jc w:val="center"/>
            </w:pPr>
            <w:r>
              <w:lastRenderedPageBreak/>
              <w:t>Ensemble des tâches</w:t>
            </w:r>
          </w:p>
        </w:tc>
        <w:tc>
          <w:tcPr>
            <w:tcW w:w="7398" w:type="dxa"/>
            <w:gridSpan w:val="3"/>
          </w:tcPr>
          <w:p w14:paraId="4E59B2B5" w14:textId="77777777" w:rsidR="0099371D" w:rsidRDefault="0099371D" w:rsidP="00F239CE">
            <w:pPr>
              <w:pStyle w:val="ListParagraph"/>
              <w:numPr>
                <w:ilvl w:val="0"/>
                <w:numId w:val="2"/>
              </w:numPr>
            </w:pPr>
            <w:r>
              <w:t>Le volume du signal audio alertant l’utilisateur du début de toutes les tâches NC a été augmenté.</w:t>
            </w:r>
          </w:p>
          <w:p w14:paraId="2B4A4C6E" w14:textId="77777777" w:rsidR="0099371D" w:rsidRDefault="0099371D" w:rsidP="00F239CE">
            <w:pPr>
              <w:pStyle w:val="ListParagraph"/>
              <w:numPr>
                <w:ilvl w:val="0"/>
                <w:numId w:val="2"/>
              </w:numPr>
            </w:pPr>
            <w:r>
              <w:t>Le message texte annonçant le début de toutes les tâches NC s’affiche désormais en encre jaune sur fond noir.</w:t>
            </w:r>
          </w:p>
          <w:p w14:paraId="29194AB5" w14:textId="6C2DBD54" w:rsidR="0099371D" w:rsidRDefault="0099371D" w:rsidP="00F239CE">
            <w:pPr>
              <w:pStyle w:val="ListParagraph"/>
              <w:numPr>
                <w:ilvl w:val="0"/>
                <w:numId w:val="2"/>
              </w:numPr>
            </w:pPr>
            <w:r>
              <w:t>Les données</w:t>
            </w:r>
            <w:r w:rsidR="001254E4">
              <w:t xml:space="preserve"> RT (</w:t>
            </w:r>
            <w:proofErr w:type="spellStart"/>
            <w:r w:rsidR="001254E4">
              <w:t>Reaction</w:t>
            </w:r>
            <w:proofErr w:type="spellEnd"/>
            <w:r w:rsidR="001254E4">
              <w:t xml:space="preserve"> Time) </w:t>
            </w:r>
            <w:r>
              <w:t xml:space="preserve">sont désormais consignées au plus haut niveau de précision permis par le système. Étant donné que la plupart des réponses sont liées à des saisies clavier, cela signifie que l’erreur de mesure d’une réponse TR est de </w:t>
            </w:r>
            <w:r>
              <w:rPr>
                <w:rFonts w:ascii="Cambria" w:hAnsi="Cambria"/>
              </w:rPr>
              <w:t>±</w:t>
            </w:r>
            <w:r>
              <w:t xml:space="preserve"> 30 ms.</w:t>
            </w:r>
          </w:p>
          <w:p w14:paraId="1ABE18B2" w14:textId="501C4311" w:rsidR="0099371D" w:rsidRPr="004257CC" w:rsidRDefault="0099371D" w:rsidP="00F239CE">
            <w:pPr>
              <w:pStyle w:val="ListParagraph"/>
              <w:numPr>
                <w:ilvl w:val="0"/>
                <w:numId w:val="2"/>
              </w:numPr>
            </w:pPr>
            <w:r>
              <w:t xml:space="preserve">À moins d’être activés expressément, toutes les touches du clavier ainsi que les boutons de la souris seront verrouillés lorsqu’une tâche NC est exécutée. </w:t>
            </w:r>
          </w:p>
        </w:tc>
      </w:tr>
      <w:tr w:rsidR="0099371D" w14:paraId="6BE090BC" w14:textId="77777777" w:rsidTr="0099371D">
        <w:tc>
          <w:tcPr>
            <w:tcW w:w="1458" w:type="dxa"/>
            <w:vAlign w:val="center"/>
          </w:tcPr>
          <w:p w14:paraId="66848743" w14:textId="211D7A1B" w:rsidR="0099371D" w:rsidRDefault="0099371D" w:rsidP="0099371D">
            <w:pPr>
              <w:jc w:val="center"/>
            </w:pPr>
            <w:r>
              <w:t>CIT</w:t>
            </w:r>
          </w:p>
        </w:tc>
        <w:tc>
          <w:tcPr>
            <w:tcW w:w="7398" w:type="dxa"/>
            <w:gridSpan w:val="3"/>
          </w:tcPr>
          <w:p w14:paraId="05AFEE99" w14:textId="77777777" w:rsidR="0099371D" w:rsidRDefault="0099371D" w:rsidP="00F239CE">
            <w:pPr>
              <w:pStyle w:val="ListParagraph"/>
              <w:numPr>
                <w:ilvl w:val="0"/>
                <w:numId w:val="2"/>
              </w:numPr>
            </w:pPr>
            <w:r>
              <w:t>Les messages à classer s’affichent désormais en jaune dans une zone de saisie sur fond noir, au lieu d’être en blanc sur la toile de fond.</w:t>
            </w:r>
          </w:p>
          <w:p w14:paraId="1D774A9A" w14:textId="77777777" w:rsidR="0099371D" w:rsidRDefault="0099371D" w:rsidP="00F239CE">
            <w:pPr>
              <w:pStyle w:val="ListParagraph"/>
              <w:numPr>
                <w:ilvl w:val="0"/>
                <w:numId w:val="2"/>
              </w:numPr>
            </w:pPr>
            <w:r>
              <w:t>Les seules touches actives pendant cette tâche sont W pour le Temps (weather), E pour Ergonomique et T pour Technique. La touche M permet de passer d’une carte à l’autre, et les flèches servent de commandes pour le robot mobile.</w:t>
            </w:r>
          </w:p>
          <w:p w14:paraId="0B6E423C" w14:textId="77777777" w:rsidR="0099371D" w:rsidRDefault="0099371D" w:rsidP="00F239CE">
            <w:pPr>
              <w:pStyle w:val="ListParagraph"/>
              <w:numPr>
                <w:ilvl w:val="0"/>
                <w:numId w:val="2"/>
              </w:numPr>
            </w:pPr>
            <w:r>
              <w:t xml:space="preserve">Deux messages existants ont été modifiés car leur contenu était </w:t>
            </w:r>
            <w:r>
              <w:lastRenderedPageBreak/>
              <w:t>inexact.</w:t>
            </w:r>
          </w:p>
          <w:p w14:paraId="0BF9C259" w14:textId="77777777" w:rsidR="0099371D" w:rsidRDefault="0099371D" w:rsidP="00F239CE">
            <w:pPr>
              <w:pStyle w:val="ListParagraph"/>
              <w:numPr>
                <w:ilvl w:val="0"/>
                <w:numId w:val="2"/>
              </w:numPr>
            </w:pPr>
            <w:r>
              <w:t>De nouveaux messages ont été ajoutés pour avoir le même nombre de messages dans chacune des trois catégories (c.-à-d. 10 messages dans chaque catégorie), soit un total de 30 messages.</w:t>
            </w:r>
          </w:p>
          <w:p w14:paraId="6EF66CC3" w14:textId="77777777" w:rsidR="0099371D" w:rsidRDefault="0099371D" w:rsidP="00F239CE">
            <w:pPr>
              <w:pStyle w:val="ListParagraph"/>
              <w:numPr>
                <w:ilvl w:val="0"/>
                <w:numId w:val="2"/>
              </w:numPr>
            </w:pPr>
            <w:r>
              <w:t>Les messages à classer sont désormais sélectionnés de manière pseudo-aléatoire, sans remplacement, de façon qu’aucun message n’apparaisse plus d’une fois.</w:t>
            </w:r>
          </w:p>
          <w:p w14:paraId="6E2925B0" w14:textId="77777777" w:rsidR="0099371D" w:rsidRDefault="0099371D" w:rsidP="00F239CE">
            <w:pPr>
              <w:pStyle w:val="ListParagraph"/>
              <w:numPr>
                <w:ilvl w:val="0"/>
                <w:numId w:val="2"/>
              </w:numPr>
            </w:pPr>
            <w:r>
              <w:t>Quinze messages sont présentés dans les deux phases CIT, avec la contrainte de présenter cinq messages Temps, cinq Ergonomique et cinq Technique dans chaque phase.</w:t>
            </w:r>
          </w:p>
          <w:p w14:paraId="72EC7858" w14:textId="77777777" w:rsidR="0099371D" w:rsidRDefault="0099371D" w:rsidP="00F239CE">
            <w:pPr>
              <w:pStyle w:val="ListParagraph"/>
              <w:numPr>
                <w:ilvl w:val="0"/>
                <w:numId w:val="2"/>
              </w:numPr>
            </w:pPr>
            <w:r>
              <w:t>Un identifiant unique a été attribué à chacun des 30 messages, et est répertorié dans le fichier de sortie des données afin d’indiquer quel message s’est affiché pour chaque essai.</w:t>
            </w:r>
          </w:p>
          <w:p w14:paraId="05461000" w14:textId="7F3402D1" w:rsidR="004750B5" w:rsidRDefault="004750B5" w:rsidP="004750B5"/>
        </w:tc>
      </w:tr>
      <w:tr w:rsidR="0099371D" w14:paraId="049DC91B" w14:textId="77777777" w:rsidTr="0099371D">
        <w:tc>
          <w:tcPr>
            <w:tcW w:w="1458" w:type="dxa"/>
            <w:vAlign w:val="center"/>
          </w:tcPr>
          <w:p w14:paraId="66073AB0" w14:textId="3438B141" w:rsidR="0099371D" w:rsidRDefault="0099371D" w:rsidP="0099371D">
            <w:pPr>
              <w:jc w:val="center"/>
            </w:pPr>
            <w:r>
              <w:lastRenderedPageBreak/>
              <w:t>GDCCT</w:t>
            </w:r>
          </w:p>
        </w:tc>
        <w:tc>
          <w:tcPr>
            <w:tcW w:w="7398" w:type="dxa"/>
            <w:gridSpan w:val="3"/>
          </w:tcPr>
          <w:p w14:paraId="0BB31D72" w14:textId="30248013" w:rsidR="0099371D" w:rsidRDefault="0099371D" w:rsidP="00F239CE">
            <w:pPr>
              <w:pStyle w:val="ListParagraph"/>
              <w:numPr>
                <w:ilvl w:val="0"/>
                <w:numId w:val="2"/>
              </w:numPr>
            </w:pPr>
            <w:r w:rsidRPr="00FC0173">
              <w:rPr>
                <w:lang w:val="en-CA"/>
              </w:rPr>
              <w:t xml:space="preserve">Les instructions </w:t>
            </w:r>
            <w:proofErr w:type="spellStart"/>
            <w:r w:rsidRPr="00FC0173">
              <w:rPr>
                <w:lang w:val="en-CA"/>
              </w:rPr>
              <w:t>ont</w:t>
            </w:r>
            <w:proofErr w:type="spellEnd"/>
            <w:r w:rsidRPr="00FC0173">
              <w:rPr>
                <w:lang w:val="en-CA"/>
              </w:rPr>
              <w:t xml:space="preserve"> </w:t>
            </w:r>
            <w:proofErr w:type="spellStart"/>
            <w:r w:rsidRPr="00FC0173">
              <w:rPr>
                <w:lang w:val="en-CA"/>
              </w:rPr>
              <w:t>été</w:t>
            </w:r>
            <w:proofErr w:type="spellEnd"/>
            <w:r w:rsidRPr="00FC0173">
              <w:rPr>
                <w:lang w:val="en-CA"/>
              </w:rPr>
              <w:t xml:space="preserve"> </w:t>
            </w:r>
            <w:proofErr w:type="spellStart"/>
            <w:proofErr w:type="gramStart"/>
            <w:r w:rsidRPr="00FC0173">
              <w:rPr>
                <w:lang w:val="en-CA"/>
              </w:rPr>
              <w:t>modifiées</w:t>
            </w:r>
            <w:proofErr w:type="spellEnd"/>
            <w:r w:rsidR="001254E4" w:rsidRPr="00FC0173">
              <w:rPr>
                <w:lang w:val="en-CA"/>
              </w:rPr>
              <w:t> :</w:t>
            </w:r>
            <w:proofErr w:type="gramEnd"/>
            <w:r w:rsidRPr="00FC0173">
              <w:rPr>
                <w:lang w:val="en-CA"/>
              </w:rPr>
              <w:t xml:space="preserve"> </w:t>
            </w:r>
            <w:r w:rsidR="00FC0173" w:rsidRPr="00FC0173">
              <w:rPr>
                <w:b/>
                <w:lang w:val="en-CA"/>
              </w:rPr>
              <w:t>“</w:t>
            </w:r>
            <w:r w:rsidR="001254E4" w:rsidRPr="00FC0173">
              <w:rPr>
                <w:b/>
                <w:i/>
                <w:lang w:val="en-CA"/>
              </w:rPr>
              <w:t>Click the left mouse button if the symbol matches. Click the right mouse button if it doesn’t.” to “Press the “Y” key if the symbol matches or press the “N” key if it does not</w:t>
            </w:r>
            <w:r w:rsidR="00FC0173" w:rsidRPr="00FC0173">
              <w:rPr>
                <w:b/>
                <w:i/>
                <w:lang w:val="en-CA"/>
              </w:rPr>
              <w:t>”</w:t>
            </w:r>
            <w:r w:rsidRPr="001254E4">
              <w:rPr>
                <w:lang w:val="en-CA"/>
              </w:rPr>
              <w:t> </w:t>
            </w:r>
            <w:r w:rsidR="001254E4">
              <w:rPr>
                <w:lang w:val="en-CA"/>
              </w:rPr>
              <w:t xml:space="preserve"> [</w:t>
            </w:r>
            <w:r w:rsidRPr="001254E4">
              <w:rPr>
                <w:lang w:val="en-CA"/>
              </w:rPr>
              <w:t xml:space="preserve">Cliquer sur le bouton gauche de </w:t>
            </w:r>
            <w:r w:rsidR="005B0E66" w:rsidRPr="001254E4">
              <w:rPr>
                <w:lang w:val="en-CA"/>
              </w:rPr>
              <w:t xml:space="preserve">la </w:t>
            </w:r>
            <w:proofErr w:type="spellStart"/>
            <w:r w:rsidR="005B0E66" w:rsidRPr="001254E4">
              <w:rPr>
                <w:lang w:val="en-CA"/>
              </w:rPr>
              <w:t>souris</w:t>
            </w:r>
            <w:proofErr w:type="spellEnd"/>
            <w:r w:rsidR="005B0E66" w:rsidRPr="001254E4">
              <w:rPr>
                <w:lang w:val="en-CA"/>
              </w:rPr>
              <w:t xml:space="preserve"> </w:t>
            </w:r>
            <w:proofErr w:type="spellStart"/>
            <w:r w:rsidR="005B0E66" w:rsidRPr="001254E4">
              <w:rPr>
                <w:lang w:val="en-CA"/>
              </w:rPr>
              <w:t>si</w:t>
            </w:r>
            <w:proofErr w:type="spellEnd"/>
            <w:r w:rsidR="005B0E66" w:rsidRPr="001254E4">
              <w:rPr>
                <w:lang w:val="en-CA"/>
              </w:rPr>
              <w:t xml:space="preserve"> le </w:t>
            </w:r>
            <w:proofErr w:type="spellStart"/>
            <w:r w:rsidR="005B0E66" w:rsidRPr="001254E4">
              <w:rPr>
                <w:lang w:val="en-CA"/>
              </w:rPr>
              <w:t>symbole</w:t>
            </w:r>
            <w:proofErr w:type="spellEnd"/>
            <w:r w:rsidR="005B0E66" w:rsidRPr="001254E4">
              <w:rPr>
                <w:lang w:val="en-CA"/>
              </w:rPr>
              <w:t xml:space="preserve"> </w:t>
            </w:r>
            <w:r w:rsidRPr="001254E4">
              <w:rPr>
                <w:lang w:val="en-CA"/>
              </w:rPr>
              <w:t xml:space="preserve">correspond. </w:t>
            </w:r>
            <w:r>
              <w:t>Cliquer sur le bouton droit de la souris s’il ne correspond pas. » devient « Appuyer sur la touche Y si le symbole correspond ou sur la touche N s’il ne correspond pas. »</w:t>
            </w:r>
            <w:r w:rsidR="001254E4">
              <w:t>]</w:t>
            </w:r>
          </w:p>
          <w:p w14:paraId="5BF710AA" w14:textId="77777777" w:rsidR="0099371D" w:rsidRDefault="0099371D" w:rsidP="00F239CE">
            <w:pPr>
              <w:pStyle w:val="ListParagraph"/>
              <w:numPr>
                <w:ilvl w:val="0"/>
                <w:numId w:val="2"/>
              </w:numPr>
            </w:pPr>
            <w:r>
              <w:t>Les seules touches actives pendant cette tâche sont Y et N pour indiquer s’il y a correspondance ou pas, respectivement.</w:t>
            </w:r>
          </w:p>
          <w:p w14:paraId="5EC53C2B" w14:textId="77777777" w:rsidR="0099371D" w:rsidRDefault="0099371D" w:rsidP="00F239CE">
            <w:pPr>
              <w:pStyle w:val="ListParagraph"/>
              <w:numPr>
                <w:ilvl w:val="0"/>
                <w:numId w:val="2"/>
              </w:numPr>
            </w:pPr>
            <w:r>
              <w:t>Le message « Temps écoulé : veuillez répondre plus vite au prochain essai » s’affiche en jaune sur fond noir si le participant prend trop de temps à répondre.</w:t>
            </w:r>
          </w:p>
          <w:p w14:paraId="18EE9D63" w14:textId="77777777" w:rsidR="0099371D" w:rsidRDefault="0099371D" w:rsidP="00F239CE">
            <w:pPr>
              <w:pStyle w:val="ListParagraph"/>
              <w:numPr>
                <w:ilvl w:val="0"/>
                <w:numId w:val="2"/>
              </w:numPr>
            </w:pPr>
            <w:r>
              <w:t xml:space="preserve">Le nombre d’essais dans la phase </w:t>
            </w:r>
            <w:r>
              <w:rPr>
                <w:i/>
              </w:rPr>
              <w:t>correspondance</w:t>
            </w:r>
            <w:r>
              <w:t xml:space="preserve"> de cette tâche est passé de 70 à 80, afin de garantir un ratio de 50:50 pour les essais de correspondance et non correspondance. Chaque chiffre de 0 à 9 a été présenté huit fois (quatre correspondances et quatre non correspondances).</w:t>
            </w:r>
          </w:p>
          <w:p w14:paraId="3E635AC3" w14:textId="15189537" w:rsidR="0099371D" w:rsidRDefault="0099371D" w:rsidP="00F239CE">
            <w:pPr>
              <w:pStyle w:val="ListParagraph"/>
              <w:numPr>
                <w:ilvl w:val="0"/>
                <w:numId w:val="2"/>
              </w:numPr>
            </w:pPr>
            <w:r>
              <w:t xml:space="preserve">Le ratio des essais de correspondance et non correspondance dans la phase </w:t>
            </w:r>
            <w:r>
              <w:rPr>
                <w:i/>
              </w:rPr>
              <w:t>mémoire</w:t>
            </w:r>
            <w:r>
              <w:t xml:space="preserve"> de cette tâche a été paramétré à 50:50, chaque chiffre de 0 à 9 apparaissant une seule fois comme correspondance et une seule fois comme non correspondance.</w:t>
            </w:r>
          </w:p>
        </w:tc>
      </w:tr>
      <w:tr w:rsidR="0099371D" w14:paraId="7DCBE2E1" w14:textId="77777777" w:rsidTr="0099371D">
        <w:tc>
          <w:tcPr>
            <w:tcW w:w="1458" w:type="dxa"/>
            <w:vAlign w:val="center"/>
          </w:tcPr>
          <w:p w14:paraId="6B3AF775" w14:textId="11CBD52A" w:rsidR="0099371D" w:rsidRDefault="0099371D" w:rsidP="0099371D">
            <w:pPr>
              <w:jc w:val="center"/>
            </w:pPr>
            <w:r>
              <w:t>LNSAT</w:t>
            </w:r>
          </w:p>
        </w:tc>
        <w:tc>
          <w:tcPr>
            <w:tcW w:w="7398" w:type="dxa"/>
            <w:gridSpan w:val="3"/>
          </w:tcPr>
          <w:p w14:paraId="1B6F78BA" w14:textId="77777777" w:rsidR="0099371D" w:rsidRDefault="0099371D" w:rsidP="00F239CE">
            <w:pPr>
              <w:pStyle w:val="ListParagraph"/>
              <w:numPr>
                <w:ilvl w:val="0"/>
                <w:numId w:val="2"/>
              </w:numPr>
            </w:pPr>
            <w:r>
              <w:t>Une fenêtre contextuelle s’affiche désormais au début du LNSAT pour indiquer que la tâche de conduite du robot mobile a été arrêtée.</w:t>
            </w:r>
          </w:p>
          <w:p w14:paraId="71E01824" w14:textId="6E25279D" w:rsidR="0099371D" w:rsidRDefault="0099371D" w:rsidP="00F239CE">
            <w:pPr>
              <w:pStyle w:val="ListParagraph"/>
              <w:numPr>
                <w:ilvl w:val="0"/>
                <w:numId w:val="2"/>
              </w:numPr>
            </w:pPr>
            <w:r>
              <w:t>Les instructions indiquent désormais que le participant doit utiliser la touche « Ent</w:t>
            </w:r>
            <w:r w:rsidR="00905B80">
              <w:t>rée</w:t>
            </w:r>
            <w:r>
              <w:t> » pour envoyer une réponse au lieu d’utiliser la souris pour cliquer sur le bouton OK.</w:t>
            </w:r>
          </w:p>
          <w:p w14:paraId="738A1D47" w14:textId="77777777" w:rsidR="0099371D" w:rsidRDefault="0099371D" w:rsidP="00F239CE">
            <w:pPr>
              <w:pStyle w:val="ListParagraph"/>
              <w:numPr>
                <w:ilvl w:val="0"/>
                <w:numId w:val="2"/>
              </w:numPr>
            </w:pPr>
            <w:r>
              <w:t>Le bouton OK a été supprimé de la fenêtre de réponse.</w:t>
            </w:r>
          </w:p>
          <w:p w14:paraId="26B0E523" w14:textId="1737316D" w:rsidR="0099371D" w:rsidRDefault="0099371D" w:rsidP="00F239CE">
            <w:pPr>
              <w:pStyle w:val="ListParagraph"/>
              <w:numPr>
                <w:ilvl w:val="0"/>
                <w:numId w:val="2"/>
              </w:numPr>
            </w:pPr>
            <w:r>
              <w:t>Les seules touches actives pendant cette tâche sont toutes les lettres et chiffres, la touche Ent</w:t>
            </w:r>
            <w:r w:rsidR="00905B80">
              <w:t>rée</w:t>
            </w:r>
            <w:r>
              <w:t> / Ret</w:t>
            </w:r>
            <w:r w:rsidR="00905B80">
              <w:t>our</w:t>
            </w:r>
            <w:r>
              <w:t xml:space="preserve"> et la touche Retour arrière.</w:t>
            </w:r>
          </w:p>
          <w:p w14:paraId="6B587DBB" w14:textId="03522B54" w:rsidR="0099371D" w:rsidRDefault="0099371D" w:rsidP="00F239CE">
            <w:pPr>
              <w:pStyle w:val="ListParagraph"/>
              <w:numPr>
                <w:ilvl w:val="0"/>
                <w:numId w:val="2"/>
              </w:numPr>
            </w:pPr>
            <w:r w:rsidRPr="001254E4">
              <w:rPr>
                <w:lang w:val="en-CA"/>
              </w:rPr>
              <w:lastRenderedPageBreak/>
              <w:t xml:space="preserve">Le </w:t>
            </w:r>
            <w:proofErr w:type="gramStart"/>
            <w:r w:rsidRPr="001254E4">
              <w:rPr>
                <w:lang w:val="en-CA"/>
              </w:rPr>
              <w:t>message</w:t>
            </w:r>
            <w:r w:rsidR="001254E4" w:rsidRPr="001254E4">
              <w:rPr>
                <w:lang w:val="en-CA"/>
              </w:rPr>
              <w:t> :</w:t>
            </w:r>
            <w:proofErr w:type="gramEnd"/>
            <w:r w:rsidR="001254E4" w:rsidRPr="001254E4">
              <w:rPr>
                <w:lang w:val="en-CA"/>
              </w:rPr>
              <w:t xml:space="preserve">  </w:t>
            </w:r>
            <w:r w:rsidR="00FC0173" w:rsidRPr="00FC0173">
              <w:rPr>
                <w:b/>
                <w:lang w:val="en-CA"/>
              </w:rPr>
              <w:t>“</w:t>
            </w:r>
            <w:r w:rsidR="001254E4" w:rsidRPr="00FC0173">
              <w:rPr>
                <w:b/>
                <w:i/>
                <w:lang w:val="en-CA"/>
              </w:rPr>
              <w:t>The last trial was missed (timeout). The next one is coming up.” was replaced with, “Time elapsed: Please respond more quickly on the next trial</w:t>
            </w:r>
            <w:r w:rsidR="001254E4" w:rsidRPr="00FC0173">
              <w:rPr>
                <w:b/>
                <w:lang w:val="en-CA"/>
              </w:rPr>
              <w:t>.</w:t>
            </w:r>
            <w:r w:rsidR="00FC0173" w:rsidRPr="00FC0173">
              <w:rPr>
                <w:b/>
                <w:lang w:val="en-CA"/>
              </w:rPr>
              <w:t>”</w:t>
            </w:r>
            <w:r w:rsidR="001254E4" w:rsidRPr="001254E4">
              <w:rPr>
                <w:lang w:val="en-CA"/>
              </w:rPr>
              <w:t xml:space="preserve"> </w:t>
            </w:r>
            <w:r w:rsidR="001254E4" w:rsidRPr="001254E4">
              <w:t>[</w:t>
            </w:r>
            <w:r>
              <w:t>Vous n’avez pas réussi le dernier essai (temps expiré).  Le prochain arrive bientôt. » a été remplacé par « Temps écoulé : Veuillez répondre plus vite au prochain essai.</w:t>
            </w:r>
            <w:r w:rsidR="001254E4">
              <w:t xml:space="preserve">] </w:t>
            </w:r>
            <w:r>
              <w:t>Ce message s’affiche en jaune sur fond noir si le participant prend trop de temps à répondre.</w:t>
            </w:r>
          </w:p>
          <w:p w14:paraId="66F1B469" w14:textId="77777777" w:rsidR="0099371D" w:rsidRDefault="0099371D" w:rsidP="00F239CE">
            <w:pPr>
              <w:pStyle w:val="ListParagraph"/>
              <w:numPr>
                <w:ilvl w:val="0"/>
                <w:numId w:val="2"/>
              </w:numPr>
            </w:pPr>
            <w:r>
              <w:t>Ajouté la possibilité de préciser le niveau de difficulté du début (par ex., nombre de paires lettre-chiffre) au fichier de configuration.</w:t>
            </w:r>
          </w:p>
          <w:p w14:paraId="26C3F7F0" w14:textId="77777777" w:rsidR="0099371D" w:rsidRDefault="0099371D" w:rsidP="00F239CE">
            <w:pPr>
              <w:pStyle w:val="ListParagraph"/>
              <w:numPr>
                <w:ilvl w:val="0"/>
                <w:numId w:val="2"/>
              </w:numPr>
            </w:pPr>
            <w:r>
              <w:t>Ajouté la possibilité de préciser le nombre de tentatives permises à un niveau donné avant de pouvoir passer au niveau supérieur au fichier de configuration.</w:t>
            </w:r>
          </w:p>
          <w:p w14:paraId="5034346C" w14:textId="4285AA8A" w:rsidR="0099371D" w:rsidRDefault="0099371D" w:rsidP="00F239CE">
            <w:pPr>
              <w:pStyle w:val="ListParagraph"/>
              <w:numPr>
                <w:ilvl w:val="0"/>
                <w:numId w:val="2"/>
              </w:numPr>
            </w:pPr>
            <w:r>
              <w:t>L’horloge TR démarre désormais après que le dernier élément de la séquence lettre-chiffre a été présenté, au lieu de démarrer dès le premier élément de la séquence lettre-chiffre.</w:t>
            </w:r>
          </w:p>
        </w:tc>
      </w:tr>
      <w:tr w:rsidR="0099371D" w14:paraId="5FD23C35" w14:textId="77777777" w:rsidTr="0099371D">
        <w:tc>
          <w:tcPr>
            <w:tcW w:w="1458" w:type="dxa"/>
            <w:vAlign w:val="center"/>
          </w:tcPr>
          <w:p w14:paraId="5E0E2732" w14:textId="369A6758" w:rsidR="0099371D" w:rsidRDefault="0099371D" w:rsidP="0099371D">
            <w:pPr>
              <w:jc w:val="center"/>
            </w:pPr>
            <w:r>
              <w:lastRenderedPageBreak/>
              <w:t>RCT</w:t>
            </w:r>
          </w:p>
        </w:tc>
        <w:tc>
          <w:tcPr>
            <w:tcW w:w="7398" w:type="dxa"/>
            <w:gridSpan w:val="3"/>
          </w:tcPr>
          <w:p w14:paraId="64E2A00B" w14:textId="77777777" w:rsidR="0099371D" w:rsidRDefault="0099371D" w:rsidP="00F239CE">
            <w:pPr>
              <w:pStyle w:val="ListParagraph"/>
              <w:numPr>
                <w:ilvl w:val="0"/>
                <w:numId w:val="2"/>
              </w:numPr>
            </w:pPr>
            <w:r>
              <w:t>Le menu indiquant les positions du bras du robot mobile, à droite de l’écran, s’affiche uniquement après que le message texte annonçant le début de la tâche s’est affiché.</w:t>
            </w:r>
          </w:p>
          <w:p w14:paraId="4D709CBC" w14:textId="77777777" w:rsidR="0099371D" w:rsidRDefault="0099371D" w:rsidP="00F239CE">
            <w:pPr>
              <w:pStyle w:val="ListParagraph"/>
              <w:numPr>
                <w:ilvl w:val="0"/>
                <w:numId w:val="2"/>
              </w:numPr>
            </w:pPr>
            <w:r>
              <w:t>Les seules touches actives pendant cette tâche sont la barre d’espace, la touche M, les flèches de direction et les touches des chiffres 1, 2, 3 et 4.</w:t>
            </w:r>
          </w:p>
          <w:p w14:paraId="2DCE3649" w14:textId="77777777" w:rsidR="0099371D" w:rsidRDefault="0099371D" w:rsidP="00F239CE">
            <w:pPr>
              <w:pStyle w:val="ListParagraph"/>
              <w:numPr>
                <w:ilvl w:val="0"/>
                <w:numId w:val="2"/>
              </w:numPr>
            </w:pPr>
            <w:r>
              <w:t>Les messages RCT s’affichent désormais en texte jaune sur fond noir.</w:t>
            </w:r>
          </w:p>
          <w:p w14:paraId="09D43C1C" w14:textId="77777777" w:rsidR="0099371D" w:rsidRDefault="0099371D" w:rsidP="00F239CE">
            <w:pPr>
              <w:pStyle w:val="ListParagraph"/>
              <w:numPr>
                <w:ilvl w:val="0"/>
                <w:numId w:val="2"/>
              </w:numPr>
            </w:pPr>
            <w:r>
              <w:t>Les saisies des participants restent désormais activées pendant l’animation de la tâche d’extraction de roches.</w:t>
            </w:r>
          </w:p>
          <w:p w14:paraId="6002A073" w14:textId="6AB429EC" w:rsidR="0099371D" w:rsidRDefault="0099371D" w:rsidP="00F239CE">
            <w:pPr>
              <w:pStyle w:val="ListParagraph"/>
              <w:numPr>
                <w:ilvl w:val="0"/>
                <w:numId w:val="2"/>
              </w:numPr>
            </w:pPr>
            <w:r>
              <w:t>L’animation d’extraction de roches ne bloque plus les messages RCT.</w:t>
            </w:r>
          </w:p>
        </w:tc>
      </w:tr>
      <w:tr w:rsidR="0099371D" w14:paraId="074115E0" w14:textId="77777777" w:rsidTr="005F7692">
        <w:tc>
          <w:tcPr>
            <w:tcW w:w="1458" w:type="dxa"/>
            <w:vAlign w:val="center"/>
          </w:tcPr>
          <w:p w14:paraId="7A9AB8C4" w14:textId="66F0F390" w:rsidR="0099371D" w:rsidRDefault="0099371D" w:rsidP="0099371D">
            <w:pPr>
              <w:jc w:val="center"/>
            </w:pPr>
            <w:r>
              <w:t>PMRCT</w:t>
            </w:r>
          </w:p>
        </w:tc>
        <w:tc>
          <w:tcPr>
            <w:tcW w:w="7398" w:type="dxa"/>
            <w:gridSpan w:val="3"/>
          </w:tcPr>
          <w:p w14:paraId="6CB4A033" w14:textId="43AECA17" w:rsidR="0099371D" w:rsidRDefault="0099371D" w:rsidP="00F239CE">
            <w:pPr>
              <w:pStyle w:val="ListParagraph"/>
              <w:numPr>
                <w:ilvl w:val="0"/>
                <w:numId w:val="2"/>
              </w:numPr>
            </w:pPr>
            <w:r>
              <w:t xml:space="preserve">Le message texte annonçant le début de la sous-tâche </w:t>
            </w:r>
            <w:r>
              <w:rPr>
                <w:u w:val="single"/>
              </w:rPr>
              <w:t>confirmation</w:t>
            </w:r>
            <w:r>
              <w:t xml:space="preserve"> (soit </w:t>
            </w:r>
            <w:r w:rsidR="00FC0173">
              <w:t xml:space="preserve"> </w:t>
            </w:r>
            <w:r w:rsidR="00FC0173" w:rsidRPr="00FC0173">
              <w:rPr>
                <w:b/>
                <w:i/>
              </w:rPr>
              <w:t>“</w:t>
            </w:r>
            <w:proofErr w:type="spellStart"/>
            <w:r w:rsidR="00FC0173" w:rsidRPr="00FC0173">
              <w:rPr>
                <w:b/>
                <w:i/>
              </w:rPr>
              <w:t>Incoming</w:t>
            </w:r>
            <w:proofErr w:type="spellEnd"/>
            <w:r w:rsidR="00FC0173" w:rsidRPr="00FC0173">
              <w:rPr>
                <w:b/>
                <w:i/>
              </w:rPr>
              <w:t xml:space="preserve"> Communication About To Begin</w:t>
            </w:r>
            <w:r w:rsidR="00FC0173" w:rsidRPr="00FC0173">
              <w:t>”</w:t>
            </w:r>
            <w:r w:rsidR="00FC0173" w:rsidRPr="00FC0173">
              <w:rPr>
                <w:b/>
                <w:i/>
              </w:rPr>
              <w:t xml:space="preserve"> </w:t>
            </w:r>
            <w:r w:rsidR="00FC0173">
              <w:t>[</w:t>
            </w:r>
            <w:r>
              <w:t>Communication entrante sur le point de commencer</w:t>
            </w:r>
            <w:r w:rsidR="00FC0173">
              <w:t>] s</w:t>
            </w:r>
            <w:r>
              <w:t>’affiche désormais en encre jaune sur fond noir.</w:t>
            </w:r>
          </w:p>
          <w:p w14:paraId="14F3F16C" w14:textId="77777777" w:rsidR="0099371D" w:rsidRDefault="0099371D" w:rsidP="00F239CE">
            <w:pPr>
              <w:pStyle w:val="ListParagraph"/>
              <w:numPr>
                <w:ilvl w:val="0"/>
                <w:numId w:val="2"/>
              </w:numPr>
            </w:pPr>
            <w:r>
              <w:t>Un fichier audio annonce désormais que le participant doit « Confirmer le message en appuyant sur la barre d’espace après la tonalité. »</w:t>
            </w:r>
          </w:p>
          <w:p w14:paraId="33340975" w14:textId="77777777" w:rsidR="0099371D" w:rsidRDefault="0099371D" w:rsidP="00F239CE">
            <w:pPr>
              <w:pStyle w:val="ListParagraph"/>
              <w:numPr>
                <w:ilvl w:val="0"/>
                <w:numId w:val="2"/>
              </w:numPr>
            </w:pPr>
            <w:r>
              <w:t>Une tonalité se fait désormais entendre immédiatement après le message de confirmation, et l’horloge TR s’enclenche en même temps que la tonalité.</w:t>
            </w:r>
          </w:p>
          <w:p w14:paraId="02F13712" w14:textId="77777777" w:rsidR="0099371D" w:rsidRDefault="0099371D" w:rsidP="00F239CE">
            <w:pPr>
              <w:pStyle w:val="ListParagraph"/>
              <w:numPr>
                <w:ilvl w:val="0"/>
                <w:numId w:val="2"/>
              </w:numPr>
            </w:pPr>
            <w:r>
              <w:t>Un signal avertit désormais le participant lorsqu’il répond avant la fin du message de confirmation.</w:t>
            </w:r>
          </w:p>
          <w:p w14:paraId="7A4FC149" w14:textId="77777777" w:rsidR="0099371D" w:rsidRDefault="0099371D" w:rsidP="00F239CE">
            <w:pPr>
              <w:pStyle w:val="ListParagraph"/>
              <w:numPr>
                <w:ilvl w:val="0"/>
                <w:numId w:val="2"/>
              </w:numPr>
            </w:pPr>
            <w:r>
              <w:t>Les seules touches actives pour la sous-tâche du message de confirmation sont la barre d’espace (activée après la tonalité uniquement), la touche M et les flèches de direction.</w:t>
            </w:r>
          </w:p>
          <w:p w14:paraId="30EAD349" w14:textId="4AA4B1D2" w:rsidR="0099371D" w:rsidRDefault="0099371D" w:rsidP="00F239CE">
            <w:pPr>
              <w:pStyle w:val="ListParagraph"/>
              <w:numPr>
                <w:ilvl w:val="0"/>
                <w:numId w:val="2"/>
              </w:numPr>
            </w:pPr>
            <w:r w:rsidRPr="00FC0173">
              <w:rPr>
                <w:lang w:val="en-CA"/>
              </w:rPr>
              <w:t xml:space="preserve">Le message </w:t>
            </w:r>
            <w:proofErr w:type="spellStart"/>
            <w:r w:rsidRPr="00FC0173">
              <w:rPr>
                <w:lang w:val="en-CA"/>
              </w:rPr>
              <w:t>texte</w:t>
            </w:r>
            <w:proofErr w:type="spellEnd"/>
            <w:r w:rsidRPr="00FC0173">
              <w:rPr>
                <w:lang w:val="en-CA"/>
              </w:rPr>
              <w:t xml:space="preserve"> </w:t>
            </w:r>
            <w:proofErr w:type="spellStart"/>
            <w:r w:rsidRPr="00FC0173">
              <w:rPr>
                <w:lang w:val="en-CA"/>
              </w:rPr>
              <w:t>annonçant</w:t>
            </w:r>
            <w:proofErr w:type="spellEnd"/>
            <w:r w:rsidRPr="00FC0173">
              <w:rPr>
                <w:lang w:val="en-CA"/>
              </w:rPr>
              <w:t xml:space="preserve"> le début de la </w:t>
            </w:r>
            <w:proofErr w:type="spellStart"/>
            <w:r w:rsidRPr="00FC0173">
              <w:rPr>
                <w:lang w:val="en-CA"/>
              </w:rPr>
              <w:t>sous</w:t>
            </w:r>
            <w:proofErr w:type="spellEnd"/>
            <w:r w:rsidRPr="00FC0173">
              <w:rPr>
                <w:lang w:val="en-CA"/>
              </w:rPr>
              <w:t>-</w:t>
            </w:r>
            <w:proofErr w:type="spellStart"/>
            <w:r w:rsidRPr="00FC0173">
              <w:rPr>
                <w:lang w:val="en-CA"/>
              </w:rPr>
              <w:t>tâche</w:t>
            </w:r>
            <w:proofErr w:type="spellEnd"/>
            <w:r w:rsidRPr="00FC0173">
              <w:rPr>
                <w:lang w:val="en-CA"/>
              </w:rPr>
              <w:t xml:space="preserve"> </w:t>
            </w:r>
            <w:proofErr w:type="spellStart"/>
            <w:r w:rsidRPr="00FC0173">
              <w:rPr>
                <w:u w:val="single"/>
                <w:lang w:val="en-CA"/>
              </w:rPr>
              <w:t>calculs</w:t>
            </w:r>
            <w:proofErr w:type="spellEnd"/>
            <w:r w:rsidR="00FC0173">
              <w:rPr>
                <w:lang w:val="en-CA"/>
              </w:rPr>
              <w:t xml:space="preserve"> (</w:t>
            </w:r>
            <w:proofErr w:type="spellStart"/>
            <w:r w:rsidR="00FC0173">
              <w:rPr>
                <w:lang w:val="en-CA"/>
              </w:rPr>
              <w:t>soit</w:t>
            </w:r>
            <w:proofErr w:type="spellEnd"/>
            <w:r w:rsidR="00FC0173">
              <w:rPr>
                <w:lang w:val="en-CA"/>
              </w:rPr>
              <w:t xml:space="preserve"> </w:t>
            </w:r>
            <w:r w:rsidR="00FC0173" w:rsidRPr="00FC0173">
              <w:rPr>
                <w:b/>
                <w:i/>
                <w:lang w:val="en-CA"/>
              </w:rPr>
              <w:t xml:space="preserve">“How many seconds will it take for the storm to reach the </w:t>
            </w:r>
            <w:r w:rsidR="00FC0173" w:rsidRPr="00FC0173">
              <w:rPr>
                <w:b/>
                <w:i/>
                <w:lang w:val="en-CA"/>
              </w:rPr>
              <w:lastRenderedPageBreak/>
              <w:t>Rover?”</w:t>
            </w:r>
            <w:r w:rsidR="00FC0173" w:rsidRPr="00FC0173">
              <w:rPr>
                <w:lang w:val="en-CA"/>
              </w:rPr>
              <w:t xml:space="preserve"> </w:t>
            </w:r>
            <w:r w:rsidR="00FC0173" w:rsidRPr="00FC0173">
              <w:t>[</w:t>
            </w:r>
            <w:r>
              <w:t>Dans combien de secondes la tempête atteindra-t-elle robot mobile</w:t>
            </w:r>
            <w:r w:rsidR="00FC0173">
              <w:t>]</w:t>
            </w:r>
            <w:r>
              <w:t xml:space="preserve"> s’affiche désormais en encre jaune sur fond noir.</w:t>
            </w:r>
          </w:p>
          <w:p w14:paraId="2D76786D" w14:textId="77777777" w:rsidR="0099371D" w:rsidRDefault="0099371D" w:rsidP="00F239CE">
            <w:pPr>
              <w:pStyle w:val="ListParagraph"/>
              <w:numPr>
                <w:ilvl w:val="0"/>
                <w:numId w:val="2"/>
              </w:numPr>
            </w:pPr>
            <w:r>
              <w:t>Les renseignements inhérents à la sous-tâche de calcul mental s’affichent désormais en texte jaune sur fond noir.</w:t>
            </w:r>
          </w:p>
          <w:p w14:paraId="1842CBF9" w14:textId="027865AA" w:rsidR="0099371D" w:rsidRDefault="0099371D" w:rsidP="00F239CE">
            <w:pPr>
              <w:pStyle w:val="ListParagraph"/>
              <w:numPr>
                <w:ilvl w:val="0"/>
                <w:numId w:val="2"/>
              </w:numPr>
            </w:pPr>
            <w:r>
              <w:t>Les seules touches actives pour la sous-tâche de calcul mental sont la touche Ent</w:t>
            </w:r>
            <w:r w:rsidR="00905B80">
              <w:t>rée</w:t>
            </w:r>
            <w:r>
              <w:t> / Ret</w:t>
            </w:r>
            <w:r w:rsidR="00905B80">
              <w:t>our</w:t>
            </w:r>
            <w:r>
              <w:t>, tous les chiffres, la touche M et les flèches de direction.</w:t>
            </w:r>
          </w:p>
          <w:p w14:paraId="49E894D7" w14:textId="34A44D38" w:rsidR="005F7692" w:rsidRDefault="005F7692" w:rsidP="00F239CE">
            <w:pPr>
              <w:pStyle w:val="ListParagraph"/>
              <w:numPr>
                <w:ilvl w:val="0"/>
                <w:numId w:val="2"/>
              </w:numPr>
            </w:pPr>
            <w:r>
              <w:t>L’instruction « Saisir la réponse ci-dessus et appuyer sur OK (avec la</w:t>
            </w:r>
            <w:r w:rsidR="00FC0173">
              <w:t xml:space="preserve"> souris) » a été remplacée par </w:t>
            </w:r>
            <w:r w:rsidR="00FC0173" w:rsidRPr="00FC0173">
              <w:rPr>
                <w:b/>
                <w:i/>
              </w:rPr>
              <w:t xml:space="preserve">“Enter the </w:t>
            </w:r>
            <w:proofErr w:type="spellStart"/>
            <w:r w:rsidR="00FC0173" w:rsidRPr="00FC0173">
              <w:rPr>
                <w:b/>
                <w:i/>
              </w:rPr>
              <w:t>response</w:t>
            </w:r>
            <w:proofErr w:type="spellEnd"/>
            <w:r w:rsidR="00FC0173" w:rsidRPr="00FC0173">
              <w:rPr>
                <w:b/>
                <w:i/>
              </w:rPr>
              <w:t xml:space="preserve"> </w:t>
            </w:r>
            <w:proofErr w:type="spellStart"/>
            <w:r w:rsidR="00FC0173" w:rsidRPr="00FC0173">
              <w:rPr>
                <w:b/>
                <w:i/>
              </w:rPr>
              <w:t>above</w:t>
            </w:r>
            <w:proofErr w:type="spellEnd"/>
            <w:r w:rsidR="00FC0173" w:rsidRPr="00FC0173">
              <w:rPr>
                <w:b/>
                <w:i/>
              </w:rPr>
              <w:t xml:space="preserve"> and </w:t>
            </w:r>
            <w:proofErr w:type="spellStart"/>
            <w:r w:rsidR="00FC0173" w:rsidRPr="00FC0173">
              <w:rPr>
                <w:b/>
                <w:i/>
              </w:rPr>
              <w:t>press</w:t>
            </w:r>
            <w:proofErr w:type="spellEnd"/>
            <w:r w:rsidR="00FC0173" w:rsidRPr="00FC0173">
              <w:rPr>
                <w:b/>
                <w:i/>
              </w:rPr>
              <w:t xml:space="preserve"> Return” </w:t>
            </w:r>
            <w:r w:rsidR="00FC0173" w:rsidRPr="00FC0173">
              <w:t>[</w:t>
            </w:r>
            <w:r>
              <w:t xml:space="preserve">Saisir la réponse ci-dessus et appuyer sur </w:t>
            </w:r>
            <w:r w:rsidR="00905B80">
              <w:t>Retour</w:t>
            </w:r>
            <w:r w:rsidR="00FC0173">
              <w:t>]</w:t>
            </w:r>
            <w:r>
              <w:t>.</w:t>
            </w:r>
          </w:p>
          <w:p w14:paraId="26237141" w14:textId="5D8C860A" w:rsidR="005F7692" w:rsidRDefault="005F7692" w:rsidP="00F239CE">
            <w:pPr>
              <w:pStyle w:val="ListParagraph"/>
              <w:numPr>
                <w:ilvl w:val="0"/>
                <w:numId w:val="2"/>
              </w:numPr>
            </w:pPr>
            <w:r>
              <w:t xml:space="preserve">Le message texte annonçant le début de la sous-tâche </w:t>
            </w:r>
            <w:r>
              <w:rPr>
                <w:u w:val="single"/>
              </w:rPr>
              <w:t>décision</w:t>
            </w:r>
            <w:r>
              <w:t xml:space="preserve"> (soit</w:t>
            </w:r>
            <w:r w:rsidR="00FC0173">
              <w:t xml:space="preserve"> </w:t>
            </w:r>
            <w:r w:rsidR="00FC0173" w:rsidRPr="00FC0173">
              <w:rPr>
                <w:b/>
                <w:i/>
              </w:rPr>
              <w:t xml:space="preserve">“Do </w:t>
            </w:r>
            <w:proofErr w:type="spellStart"/>
            <w:r w:rsidR="00FC0173" w:rsidRPr="00FC0173">
              <w:rPr>
                <w:b/>
                <w:i/>
              </w:rPr>
              <w:t>you</w:t>
            </w:r>
            <w:proofErr w:type="spellEnd"/>
            <w:r w:rsidR="00FC0173" w:rsidRPr="00FC0173">
              <w:rPr>
                <w:b/>
                <w:i/>
              </w:rPr>
              <w:t xml:space="preserve"> </w:t>
            </w:r>
            <w:proofErr w:type="spellStart"/>
            <w:r w:rsidR="00FC0173" w:rsidRPr="00FC0173">
              <w:rPr>
                <w:b/>
                <w:i/>
              </w:rPr>
              <w:t>wish</w:t>
            </w:r>
            <w:proofErr w:type="spellEnd"/>
            <w:r w:rsidR="00FC0173" w:rsidRPr="00FC0173">
              <w:rPr>
                <w:b/>
                <w:i/>
              </w:rPr>
              <w:t xml:space="preserve"> to stop the Rover”</w:t>
            </w:r>
            <w:r w:rsidR="00FC0173" w:rsidRPr="00FC0173">
              <w:t xml:space="preserve"> </w:t>
            </w:r>
            <w:r w:rsidR="00FC0173">
              <w:t>[</w:t>
            </w:r>
            <w:r>
              <w:t>Souhaitez-vous arrêter le robot mobile</w:t>
            </w:r>
            <w:r w:rsidR="00FC0173">
              <w:t>]</w:t>
            </w:r>
            <w:r>
              <w:t xml:space="preserve"> s’affiche désormais en encre jaune sur fond noir.</w:t>
            </w:r>
          </w:p>
          <w:p w14:paraId="7D8B1D2E" w14:textId="77777777" w:rsidR="005F7692" w:rsidRDefault="005F7692" w:rsidP="00F239CE">
            <w:pPr>
              <w:pStyle w:val="ListParagraph"/>
              <w:numPr>
                <w:ilvl w:val="0"/>
                <w:numId w:val="2"/>
              </w:numPr>
            </w:pPr>
            <w:r>
              <w:t>Les seules touches actives pour la sous-tâche de décision sont les touches Y, N, M et les flèches de direction.</w:t>
            </w:r>
          </w:p>
          <w:p w14:paraId="5CE8E031" w14:textId="31E0C945" w:rsidR="005F7692" w:rsidRDefault="005F7692" w:rsidP="00F239CE">
            <w:pPr>
              <w:pStyle w:val="ListParagraph"/>
              <w:numPr>
                <w:ilvl w:val="0"/>
                <w:numId w:val="2"/>
              </w:numPr>
            </w:pPr>
            <w:r>
              <w:t xml:space="preserve">Les instructions d’utiliser la souris pour cliquer sur les boutons </w:t>
            </w:r>
            <w:r w:rsidR="00905B80">
              <w:t>‘</w:t>
            </w:r>
            <w:proofErr w:type="spellStart"/>
            <w:r>
              <w:t>Y</w:t>
            </w:r>
            <w:r w:rsidR="00905B80">
              <w:t>es</w:t>
            </w:r>
            <w:proofErr w:type="spellEnd"/>
            <w:r w:rsidR="00905B80">
              <w:t>’</w:t>
            </w:r>
            <w:r>
              <w:t xml:space="preserve"> ou </w:t>
            </w:r>
            <w:r w:rsidR="00905B80">
              <w:t>‘</w:t>
            </w:r>
            <w:r>
              <w:t>N</w:t>
            </w:r>
            <w:r w:rsidR="00905B80">
              <w:t>o’</w:t>
            </w:r>
            <w:r>
              <w:t xml:space="preserve"> ont été remplacées par des instructions indiquant que le participant doit appuyer sur la touche Y ou N.</w:t>
            </w:r>
          </w:p>
          <w:p w14:paraId="698C1CB9" w14:textId="77777777" w:rsidR="005F7692" w:rsidRDefault="005F7692" w:rsidP="00F239CE">
            <w:pPr>
              <w:pStyle w:val="ListParagraph"/>
              <w:numPr>
                <w:ilvl w:val="0"/>
                <w:numId w:val="2"/>
              </w:numPr>
            </w:pPr>
            <w:r>
              <w:t>Limité la modalité de l’annonce sur la vitesse de la tempête à l’auditif et l’annonce sur la distance de la tempête au visuel.</w:t>
            </w:r>
          </w:p>
          <w:p w14:paraId="1CAF2C3E" w14:textId="3F36E20A" w:rsidR="005F7692" w:rsidRDefault="005F7692" w:rsidP="00F239CE">
            <w:pPr>
              <w:pStyle w:val="ListParagraph"/>
              <w:numPr>
                <w:ilvl w:val="0"/>
                <w:numId w:val="2"/>
              </w:numPr>
            </w:pPr>
            <w:r>
              <w:t xml:space="preserve">Supprimé l’objectif secondaire d’engranger une prime spéciale de courant quand une tempête de poussière est en approche (si l’utilisateur a décidé de ne pas éteindre le robot mobile). </w:t>
            </w:r>
          </w:p>
        </w:tc>
      </w:tr>
      <w:tr w:rsidR="005F7692" w14:paraId="100BB06D" w14:textId="77777777" w:rsidTr="005F7692">
        <w:tc>
          <w:tcPr>
            <w:tcW w:w="1458" w:type="dxa"/>
            <w:vAlign w:val="center"/>
          </w:tcPr>
          <w:p w14:paraId="629AA586" w14:textId="2B7BF88D" w:rsidR="005F7692" w:rsidRDefault="005F7692" w:rsidP="0099371D">
            <w:pPr>
              <w:jc w:val="center"/>
            </w:pPr>
            <w:r>
              <w:lastRenderedPageBreak/>
              <w:t>SCT</w:t>
            </w:r>
          </w:p>
        </w:tc>
        <w:tc>
          <w:tcPr>
            <w:tcW w:w="7398" w:type="dxa"/>
            <w:gridSpan w:val="3"/>
          </w:tcPr>
          <w:p w14:paraId="473B68A0" w14:textId="77777777" w:rsidR="005F7692" w:rsidRDefault="005F7692" w:rsidP="00F239CE">
            <w:pPr>
              <w:pStyle w:val="ListParagraph"/>
              <w:numPr>
                <w:ilvl w:val="0"/>
                <w:numId w:val="2"/>
              </w:numPr>
            </w:pPr>
            <w:r>
              <w:t>La seule touche active est la barre d’espace.</w:t>
            </w:r>
          </w:p>
          <w:p w14:paraId="1B3B28CB" w14:textId="550FB477" w:rsidR="005F7692" w:rsidRDefault="005F7692" w:rsidP="00F239CE">
            <w:pPr>
              <w:pStyle w:val="ListParagraph"/>
              <w:numPr>
                <w:ilvl w:val="0"/>
                <w:numId w:val="2"/>
              </w:numPr>
            </w:pPr>
            <w:r>
              <w:t>Les instructions indiquent désormais que le participant doit</w:t>
            </w:r>
            <w:r w:rsidR="00FC0173">
              <w:t xml:space="preserve">  </w:t>
            </w:r>
            <w:r w:rsidR="00FC0173" w:rsidRPr="009A6D60">
              <w:rPr>
                <w:b/>
                <w:i/>
              </w:rPr>
              <w:t>“</w:t>
            </w:r>
            <w:proofErr w:type="spellStart"/>
            <w:r w:rsidR="00FC0173" w:rsidRPr="009A6D60">
              <w:rPr>
                <w:b/>
                <w:i/>
              </w:rPr>
              <w:t>Press</w:t>
            </w:r>
            <w:proofErr w:type="spellEnd"/>
            <w:r w:rsidR="00FC0173" w:rsidRPr="009A6D60">
              <w:rPr>
                <w:b/>
                <w:i/>
              </w:rPr>
              <w:t xml:space="preserve"> the </w:t>
            </w:r>
            <w:proofErr w:type="spellStart"/>
            <w:r w:rsidR="00FC0173" w:rsidRPr="009A6D60">
              <w:rPr>
                <w:b/>
                <w:i/>
              </w:rPr>
              <w:t>spacebar</w:t>
            </w:r>
            <w:proofErr w:type="spellEnd"/>
            <w:r w:rsidR="00FC0173" w:rsidRPr="009A6D60">
              <w:rPr>
                <w:b/>
                <w:i/>
              </w:rPr>
              <w:t xml:space="preserve"> as </w:t>
            </w:r>
            <w:proofErr w:type="spellStart"/>
            <w:r w:rsidR="00FC0173" w:rsidRPr="009A6D60">
              <w:rPr>
                <w:b/>
                <w:i/>
              </w:rPr>
              <w:t>quickly</w:t>
            </w:r>
            <w:proofErr w:type="spellEnd"/>
            <w:r w:rsidR="00FC0173" w:rsidRPr="009A6D60">
              <w:rPr>
                <w:b/>
                <w:i/>
              </w:rPr>
              <w:t xml:space="preserve"> as possible </w:t>
            </w:r>
            <w:proofErr w:type="spellStart"/>
            <w:r w:rsidR="00FC0173" w:rsidRPr="009A6D60">
              <w:rPr>
                <w:b/>
                <w:i/>
              </w:rPr>
              <w:t>when</w:t>
            </w:r>
            <w:proofErr w:type="spellEnd"/>
            <w:r w:rsidR="00FC0173" w:rsidRPr="009A6D60">
              <w:rPr>
                <w:b/>
                <w:i/>
              </w:rPr>
              <w:t xml:space="preserve"> the green </w:t>
            </w:r>
            <w:proofErr w:type="spellStart"/>
            <w:r w:rsidR="00FC0173" w:rsidRPr="009A6D60">
              <w:rPr>
                <w:b/>
                <w:i/>
              </w:rPr>
              <w:t>indicator</w:t>
            </w:r>
            <w:proofErr w:type="spellEnd"/>
            <w:r w:rsidR="00FC0173" w:rsidRPr="009A6D60">
              <w:rPr>
                <w:b/>
                <w:i/>
              </w:rPr>
              <w:t xml:space="preserve"> </w:t>
            </w:r>
            <w:proofErr w:type="spellStart"/>
            <w:r w:rsidR="00FC0173" w:rsidRPr="009A6D60">
              <w:rPr>
                <w:b/>
                <w:i/>
              </w:rPr>
              <w:t>appears</w:t>
            </w:r>
            <w:proofErr w:type="spellEnd"/>
            <w:r w:rsidR="00FC0173" w:rsidRPr="009A6D60">
              <w:rPr>
                <w:b/>
                <w:i/>
              </w:rPr>
              <w:t xml:space="preserve"> in the </w:t>
            </w:r>
            <w:proofErr w:type="spellStart"/>
            <w:r w:rsidR="00FC0173" w:rsidRPr="009A6D60">
              <w:rPr>
                <w:b/>
                <w:i/>
              </w:rPr>
              <w:t>wheel</w:t>
            </w:r>
            <w:proofErr w:type="spellEnd"/>
            <w:r w:rsidR="00FC0173" w:rsidRPr="009A6D60">
              <w:rPr>
                <w:b/>
                <w:i/>
              </w:rPr>
              <w:t xml:space="preserve"> </w:t>
            </w:r>
            <w:proofErr w:type="spellStart"/>
            <w:r w:rsidR="00FC0173" w:rsidRPr="009A6D60">
              <w:rPr>
                <w:b/>
                <w:i/>
              </w:rPr>
              <w:t>status</w:t>
            </w:r>
            <w:proofErr w:type="spellEnd"/>
            <w:r w:rsidR="00FC0173" w:rsidRPr="009A6D60">
              <w:rPr>
                <w:b/>
                <w:i/>
              </w:rPr>
              <w:t xml:space="preserve"> panel”</w:t>
            </w:r>
            <w:r w:rsidR="00FC0173">
              <w:rPr>
                <w:b/>
                <w:i/>
              </w:rPr>
              <w:t xml:space="preserve"> </w:t>
            </w:r>
            <w:r w:rsidR="00FC0173" w:rsidRPr="00FC0173">
              <w:t>[</w:t>
            </w:r>
            <w:r>
              <w:t>Appuyer sur la barre d’espace le plus vite possible lorsque le témoin vert apparaît dans le panneau d’état des roues.</w:t>
            </w:r>
            <w:r w:rsidR="00FC0173">
              <w:t>]</w:t>
            </w:r>
          </w:p>
          <w:p w14:paraId="6078FDFB" w14:textId="04C39CA1" w:rsidR="005F7692" w:rsidRDefault="005F7692" w:rsidP="00F239CE">
            <w:pPr>
              <w:pStyle w:val="ListParagraph"/>
              <w:numPr>
                <w:ilvl w:val="0"/>
                <w:numId w:val="2"/>
              </w:numPr>
            </w:pPr>
            <w:r>
              <w:t>Si un participant répond avant l’apparition du témoin vert, les instructions indiquent alors</w:t>
            </w:r>
            <w:r w:rsidR="009A6D60">
              <w:t xml:space="preserve"> </w:t>
            </w:r>
            <w:r w:rsidR="009A6D60" w:rsidRPr="009A6D60">
              <w:rPr>
                <w:b/>
                <w:i/>
              </w:rPr>
              <w:t>“</w:t>
            </w:r>
            <w:proofErr w:type="spellStart"/>
            <w:r w:rsidR="009A6D60" w:rsidRPr="009A6D60">
              <w:rPr>
                <w:b/>
                <w:i/>
              </w:rPr>
              <w:t>Press</w:t>
            </w:r>
            <w:proofErr w:type="spellEnd"/>
            <w:r w:rsidR="009A6D60" w:rsidRPr="009A6D60">
              <w:rPr>
                <w:b/>
                <w:i/>
              </w:rPr>
              <w:t xml:space="preserve"> the </w:t>
            </w:r>
            <w:proofErr w:type="spellStart"/>
            <w:r w:rsidR="009A6D60" w:rsidRPr="009A6D60">
              <w:rPr>
                <w:b/>
                <w:i/>
              </w:rPr>
              <w:t>spacebar</w:t>
            </w:r>
            <w:proofErr w:type="spellEnd"/>
            <w:r w:rsidR="009A6D60" w:rsidRPr="009A6D60">
              <w:rPr>
                <w:b/>
                <w:i/>
              </w:rPr>
              <w:t xml:space="preserve"> AFTER </w:t>
            </w:r>
            <w:proofErr w:type="gramStart"/>
            <w:r w:rsidR="009A6D60" w:rsidRPr="009A6D60">
              <w:rPr>
                <w:b/>
                <w:i/>
              </w:rPr>
              <w:t>a</w:t>
            </w:r>
            <w:proofErr w:type="gramEnd"/>
            <w:r w:rsidR="009A6D60" w:rsidRPr="009A6D60">
              <w:rPr>
                <w:b/>
                <w:i/>
              </w:rPr>
              <w:t xml:space="preserve"> green </w:t>
            </w:r>
            <w:proofErr w:type="spellStart"/>
            <w:r w:rsidR="009A6D60" w:rsidRPr="009A6D60">
              <w:rPr>
                <w:b/>
                <w:i/>
              </w:rPr>
              <w:t>indicator</w:t>
            </w:r>
            <w:proofErr w:type="spellEnd"/>
            <w:r w:rsidR="009A6D60" w:rsidRPr="009A6D60">
              <w:rPr>
                <w:b/>
                <w:i/>
              </w:rPr>
              <w:t xml:space="preserve"> </w:t>
            </w:r>
            <w:proofErr w:type="spellStart"/>
            <w:r w:rsidR="009A6D60" w:rsidRPr="009A6D60">
              <w:rPr>
                <w:b/>
                <w:i/>
              </w:rPr>
              <w:t>appears</w:t>
            </w:r>
            <w:proofErr w:type="spellEnd"/>
            <w:r w:rsidR="009A6D60" w:rsidRPr="009A6D60">
              <w:rPr>
                <w:b/>
                <w:i/>
              </w:rPr>
              <w:t xml:space="preserve"> in the </w:t>
            </w:r>
            <w:proofErr w:type="spellStart"/>
            <w:r w:rsidR="009A6D60" w:rsidRPr="009A6D60">
              <w:rPr>
                <w:b/>
                <w:i/>
              </w:rPr>
              <w:t>wheel</w:t>
            </w:r>
            <w:proofErr w:type="spellEnd"/>
            <w:r w:rsidR="009A6D60" w:rsidRPr="009A6D60">
              <w:rPr>
                <w:b/>
                <w:i/>
              </w:rPr>
              <w:t xml:space="preserve"> </w:t>
            </w:r>
            <w:proofErr w:type="spellStart"/>
            <w:r w:rsidR="009A6D60" w:rsidRPr="009A6D60">
              <w:rPr>
                <w:b/>
                <w:i/>
              </w:rPr>
              <w:t>status</w:t>
            </w:r>
            <w:proofErr w:type="spellEnd"/>
            <w:r w:rsidR="009A6D60" w:rsidRPr="009A6D60">
              <w:rPr>
                <w:b/>
                <w:i/>
              </w:rPr>
              <w:t xml:space="preserve"> panel“</w:t>
            </w:r>
            <w:r w:rsidR="009A6D60">
              <w:rPr>
                <w:b/>
                <w:i/>
              </w:rPr>
              <w:t xml:space="preserve"> </w:t>
            </w:r>
            <w:r w:rsidR="009A6D60" w:rsidRPr="009A6D60">
              <w:t>[</w:t>
            </w:r>
            <w:r w:rsidRPr="009A6D60">
              <w:t>Appuyer sur la barre d’espace APRÈS que le témoin vert apparaît</w:t>
            </w:r>
            <w:r>
              <w:t xml:space="preserve"> dans le panneau d’état des roues.</w:t>
            </w:r>
            <w:r w:rsidR="009A6D60">
              <w:t>]</w:t>
            </w:r>
          </w:p>
          <w:p w14:paraId="7FA00FC5" w14:textId="77777777" w:rsidR="005F7692" w:rsidRDefault="005F7692" w:rsidP="00F239CE">
            <w:pPr>
              <w:pStyle w:val="ListParagraph"/>
              <w:numPr>
                <w:ilvl w:val="0"/>
                <w:numId w:val="2"/>
              </w:numPr>
            </w:pPr>
            <w:r>
              <w:t>Les temps de réponse s’affichent désormais au 1/1000</w:t>
            </w:r>
            <w:r>
              <w:rPr>
                <w:vertAlign w:val="superscript"/>
              </w:rPr>
              <w:t>e</w:t>
            </w:r>
            <w:r>
              <w:t xml:space="preserve"> de seconde près.</w:t>
            </w:r>
          </w:p>
          <w:p w14:paraId="22DDD441" w14:textId="3163E618" w:rsidR="005F7692" w:rsidRDefault="005F7692" w:rsidP="00F239CE">
            <w:pPr>
              <w:pStyle w:val="ListParagraph"/>
              <w:numPr>
                <w:ilvl w:val="0"/>
                <w:numId w:val="2"/>
              </w:numPr>
            </w:pPr>
            <w:r>
              <w:t>Le message</w:t>
            </w:r>
            <w:r w:rsidR="009A6D60">
              <w:t xml:space="preserve"> </w:t>
            </w:r>
            <w:r w:rsidR="009A6D60" w:rsidRPr="009A6D60">
              <w:rPr>
                <w:b/>
                <w:i/>
              </w:rPr>
              <w:t>“Suspension Check in Progress”</w:t>
            </w:r>
            <w:r w:rsidR="009A6D60">
              <w:t xml:space="preserve"> [</w:t>
            </w:r>
            <w:r>
              <w:t>Vérification de la suspension en cours</w:t>
            </w:r>
            <w:r w:rsidR="009A6D60">
              <w:t xml:space="preserve">] </w:t>
            </w:r>
            <w:r>
              <w:t>qui s’affichait avant chaque essai a été supprimé.</w:t>
            </w:r>
          </w:p>
          <w:p w14:paraId="273CE0B8" w14:textId="77777777" w:rsidR="005F7692" w:rsidRDefault="005F7692" w:rsidP="00F239CE">
            <w:pPr>
              <w:pStyle w:val="ListParagraph"/>
              <w:numPr>
                <w:ilvl w:val="0"/>
                <w:numId w:val="2"/>
              </w:numPr>
            </w:pPr>
            <w:r>
              <w:t>Le nombre d’essais par séance a été établi à 20.</w:t>
            </w:r>
          </w:p>
          <w:p w14:paraId="61CCFCD0" w14:textId="039B605E" w:rsidR="005F7692" w:rsidRDefault="005F7692" w:rsidP="00F239CE">
            <w:pPr>
              <w:pStyle w:val="ListParagraph"/>
              <w:numPr>
                <w:ilvl w:val="0"/>
                <w:numId w:val="2"/>
              </w:numPr>
            </w:pPr>
            <w:r>
              <w:t>La fourchette d’intervalles inter-stimulus a été accrue entre 500 et 2 500 ms.</w:t>
            </w:r>
          </w:p>
        </w:tc>
      </w:tr>
      <w:tr w:rsidR="005F7692" w14:paraId="2863CDD3" w14:textId="77777777" w:rsidTr="0099371D">
        <w:tc>
          <w:tcPr>
            <w:tcW w:w="1458" w:type="dxa"/>
            <w:tcBorders>
              <w:bottom w:val="single" w:sz="4" w:space="0" w:color="auto"/>
            </w:tcBorders>
            <w:vAlign w:val="center"/>
          </w:tcPr>
          <w:p w14:paraId="496EA3AC" w14:textId="17DBDF5D" w:rsidR="005F7692" w:rsidRDefault="005F7692" w:rsidP="0099371D">
            <w:pPr>
              <w:jc w:val="center"/>
            </w:pPr>
            <w:r>
              <w:t>PT</w:t>
            </w:r>
          </w:p>
        </w:tc>
        <w:tc>
          <w:tcPr>
            <w:tcW w:w="7398" w:type="dxa"/>
            <w:gridSpan w:val="3"/>
            <w:tcBorders>
              <w:bottom w:val="single" w:sz="4" w:space="0" w:color="auto"/>
            </w:tcBorders>
          </w:tcPr>
          <w:p w14:paraId="523EEE8D" w14:textId="62310460" w:rsidR="005F7692" w:rsidRDefault="005F7692" w:rsidP="00F239CE">
            <w:pPr>
              <w:pStyle w:val="ListParagraph"/>
              <w:numPr>
                <w:ilvl w:val="0"/>
                <w:numId w:val="2"/>
              </w:numPr>
            </w:pPr>
            <w:r>
              <w:t>Les seules touches actives sont les lettres, la touche ent</w:t>
            </w:r>
            <w:r w:rsidR="00905B80">
              <w:t>rée</w:t>
            </w:r>
            <w:r>
              <w:t>/ret</w:t>
            </w:r>
            <w:r w:rsidR="00905B80">
              <w:t>our</w:t>
            </w:r>
            <w:r>
              <w:t xml:space="preserve"> et la touche de retour arrière.</w:t>
            </w:r>
          </w:p>
          <w:p w14:paraId="38845ABB" w14:textId="4E3FF741" w:rsidR="005F7692" w:rsidRDefault="005F7692" w:rsidP="00F239CE">
            <w:pPr>
              <w:pStyle w:val="ListParagraph"/>
              <w:numPr>
                <w:ilvl w:val="0"/>
                <w:numId w:val="2"/>
              </w:numPr>
            </w:pPr>
            <w:r>
              <w:t>Les instructions indiquent désormais</w:t>
            </w:r>
            <w:r w:rsidR="009A6D60">
              <w:t xml:space="preserve"> </w:t>
            </w:r>
            <w:r w:rsidR="009A6D60" w:rsidRPr="009A6D60">
              <w:rPr>
                <w:b/>
                <w:i/>
              </w:rPr>
              <w:t xml:space="preserve">“Enter </w:t>
            </w:r>
            <w:proofErr w:type="spellStart"/>
            <w:r w:rsidR="009A6D60" w:rsidRPr="009A6D60">
              <w:rPr>
                <w:b/>
                <w:i/>
              </w:rPr>
              <w:t>your</w:t>
            </w:r>
            <w:proofErr w:type="spellEnd"/>
            <w:r w:rsidR="009A6D60" w:rsidRPr="009A6D60">
              <w:rPr>
                <w:b/>
                <w:i/>
              </w:rPr>
              <w:t xml:space="preserve"> solution </w:t>
            </w:r>
            <w:proofErr w:type="spellStart"/>
            <w:r w:rsidR="009A6D60" w:rsidRPr="009A6D60">
              <w:rPr>
                <w:b/>
                <w:i/>
              </w:rPr>
              <w:t>into</w:t>
            </w:r>
            <w:proofErr w:type="spellEnd"/>
            <w:r w:rsidR="009A6D60" w:rsidRPr="009A6D60">
              <w:rPr>
                <w:b/>
                <w:i/>
              </w:rPr>
              <w:t xml:space="preserve"> </w:t>
            </w:r>
            <w:r w:rsidR="009A6D60" w:rsidRPr="009A6D60">
              <w:rPr>
                <w:b/>
                <w:i/>
              </w:rPr>
              <w:lastRenderedPageBreak/>
              <w:t xml:space="preserve">the </w:t>
            </w:r>
            <w:proofErr w:type="spellStart"/>
            <w:r w:rsidR="009A6D60" w:rsidRPr="009A6D60">
              <w:rPr>
                <w:b/>
                <w:i/>
              </w:rPr>
              <w:t>field</w:t>
            </w:r>
            <w:proofErr w:type="spellEnd"/>
            <w:r w:rsidR="009A6D60" w:rsidRPr="009A6D60">
              <w:rPr>
                <w:b/>
                <w:i/>
              </w:rPr>
              <w:t xml:space="preserve"> </w:t>
            </w:r>
            <w:proofErr w:type="spellStart"/>
            <w:r w:rsidR="009A6D60" w:rsidRPr="009A6D60">
              <w:rPr>
                <w:b/>
                <w:i/>
              </w:rPr>
              <w:t>above</w:t>
            </w:r>
            <w:proofErr w:type="spellEnd"/>
            <w:r w:rsidR="009A6D60" w:rsidRPr="009A6D60">
              <w:rPr>
                <w:b/>
                <w:i/>
              </w:rPr>
              <w:t xml:space="preserve"> </w:t>
            </w:r>
            <w:proofErr w:type="spellStart"/>
            <w:r w:rsidR="009A6D60" w:rsidRPr="009A6D60">
              <w:rPr>
                <w:b/>
                <w:i/>
              </w:rPr>
              <w:t>ensuring</w:t>
            </w:r>
            <w:proofErr w:type="spellEnd"/>
            <w:r w:rsidR="009A6D60" w:rsidRPr="009A6D60">
              <w:rPr>
                <w:b/>
                <w:i/>
              </w:rPr>
              <w:t xml:space="preserve"> </w:t>
            </w:r>
            <w:proofErr w:type="spellStart"/>
            <w:r w:rsidR="009A6D60" w:rsidRPr="009A6D60">
              <w:rPr>
                <w:b/>
                <w:i/>
              </w:rPr>
              <w:t>that</w:t>
            </w:r>
            <w:proofErr w:type="spellEnd"/>
            <w:r w:rsidR="009A6D60" w:rsidRPr="009A6D60">
              <w:rPr>
                <w:b/>
                <w:i/>
              </w:rPr>
              <w:t xml:space="preserve"> </w:t>
            </w:r>
            <w:proofErr w:type="spellStart"/>
            <w:r w:rsidR="009A6D60" w:rsidRPr="009A6D60">
              <w:rPr>
                <w:b/>
                <w:i/>
              </w:rPr>
              <w:t>it</w:t>
            </w:r>
            <w:proofErr w:type="spellEnd"/>
            <w:r w:rsidR="009A6D60" w:rsidRPr="009A6D60">
              <w:rPr>
                <w:b/>
                <w:i/>
              </w:rPr>
              <w:t xml:space="preserve"> </w:t>
            </w:r>
            <w:proofErr w:type="spellStart"/>
            <w:r w:rsidR="009A6D60" w:rsidRPr="009A6D60">
              <w:rPr>
                <w:b/>
                <w:i/>
              </w:rPr>
              <w:t>begins</w:t>
            </w:r>
            <w:proofErr w:type="spellEnd"/>
            <w:r w:rsidR="009A6D60" w:rsidRPr="009A6D60">
              <w:rPr>
                <w:b/>
                <w:i/>
              </w:rPr>
              <w:t xml:space="preserve"> </w:t>
            </w:r>
            <w:proofErr w:type="spellStart"/>
            <w:r w:rsidR="009A6D60" w:rsidRPr="009A6D60">
              <w:rPr>
                <w:b/>
                <w:i/>
              </w:rPr>
              <w:t>with</w:t>
            </w:r>
            <w:proofErr w:type="spellEnd"/>
            <w:r w:rsidR="009A6D60" w:rsidRPr="009A6D60">
              <w:rPr>
                <w:b/>
                <w:i/>
              </w:rPr>
              <w:t xml:space="preserve"> the </w:t>
            </w:r>
            <w:proofErr w:type="spellStart"/>
            <w:r w:rsidR="009A6D60" w:rsidRPr="009A6D60">
              <w:rPr>
                <w:b/>
                <w:i/>
              </w:rPr>
              <w:t>letter</w:t>
            </w:r>
            <w:proofErr w:type="spellEnd"/>
            <w:r w:rsidR="009A6D60" w:rsidRPr="009A6D60">
              <w:rPr>
                <w:b/>
                <w:i/>
              </w:rPr>
              <w:t xml:space="preserve"> A and ends </w:t>
            </w:r>
            <w:proofErr w:type="spellStart"/>
            <w:r w:rsidR="009A6D60" w:rsidRPr="009A6D60">
              <w:rPr>
                <w:b/>
                <w:i/>
              </w:rPr>
              <w:t>with</w:t>
            </w:r>
            <w:proofErr w:type="spellEnd"/>
            <w:r w:rsidR="009A6D60" w:rsidRPr="009A6D60">
              <w:rPr>
                <w:b/>
                <w:i/>
              </w:rPr>
              <w:t xml:space="preserve"> the </w:t>
            </w:r>
            <w:proofErr w:type="spellStart"/>
            <w:r w:rsidR="009A6D60" w:rsidRPr="009A6D60">
              <w:rPr>
                <w:b/>
                <w:i/>
              </w:rPr>
              <w:t>letter</w:t>
            </w:r>
            <w:proofErr w:type="spellEnd"/>
            <w:r w:rsidR="009A6D60" w:rsidRPr="009A6D60">
              <w:rPr>
                <w:b/>
                <w:i/>
              </w:rPr>
              <w:t xml:space="preserve"> S. </w:t>
            </w:r>
            <w:proofErr w:type="spellStart"/>
            <w:r w:rsidR="009A6D60" w:rsidRPr="009A6D60">
              <w:rPr>
                <w:b/>
                <w:i/>
              </w:rPr>
              <w:t>Press</w:t>
            </w:r>
            <w:proofErr w:type="spellEnd"/>
            <w:r w:rsidR="009A6D60" w:rsidRPr="009A6D60">
              <w:rPr>
                <w:b/>
                <w:i/>
              </w:rPr>
              <w:t xml:space="preserve"> Return </w:t>
            </w:r>
            <w:proofErr w:type="spellStart"/>
            <w:r w:rsidR="009A6D60" w:rsidRPr="009A6D60">
              <w:rPr>
                <w:b/>
                <w:i/>
              </w:rPr>
              <w:t>when</w:t>
            </w:r>
            <w:proofErr w:type="spellEnd"/>
            <w:r w:rsidR="009A6D60" w:rsidRPr="009A6D60">
              <w:rPr>
                <w:b/>
                <w:i/>
              </w:rPr>
              <w:t xml:space="preserve"> </w:t>
            </w:r>
            <w:proofErr w:type="spellStart"/>
            <w:r w:rsidR="009A6D60" w:rsidRPr="009A6D60">
              <w:rPr>
                <w:b/>
                <w:i/>
              </w:rPr>
              <w:t>done</w:t>
            </w:r>
            <w:proofErr w:type="spellEnd"/>
            <w:r w:rsidR="009A6D60" w:rsidRPr="009A6D60">
              <w:rPr>
                <w:b/>
                <w:i/>
              </w:rPr>
              <w:t>”</w:t>
            </w:r>
            <w:r w:rsidR="009A6D60">
              <w:t xml:space="preserve"> [</w:t>
            </w:r>
            <w:r>
              <w:t>Saisir votre solution dans le champ ci-dessus, en veillant à ce qu’elle commence par un A et se termine par un S. Appuyer sur Ret</w:t>
            </w:r>
            <w:r w:rsidR="00905B80">
              <w:t>our</w:t>
            </w:r>
            <w:r>
              <w:t xml:space="preserve"> lorsque vous avez terminé.</w:t>
            </w:r>
            <w:r w:rsidR="009A6D60">
              <w:t>]</w:t>
            </w:r>
          </w:p>
          <w:p w14:paraId="44D39D9D" w14:textId="77777777" w:rsidR="005F7692" w:rsidRDefault="005F7692" w:rsidP="00F239CE">
            <w:pPr>
              <w:pStyle w:val="ListParagraph"/>
              <w:numPr>
                <w:ilvl w:val="0"/>
                <w:numId w:val="2"/>
              </w:numPr>
            </w:pPr>
            <w:r>
              <w:t>La taille de la police a été augmentée pour les lettres du marqueur de points.</w:t>
            </w:r>
          </w:p>
          <w:p w14:paraId="2270E611" w14:textId="77777777" w:rsidR="005F7692" w:rsidRDefault="005F7692" w:rsidP="00F239CE">
            <w:pPr>
              <w:pStyle w:val="ListParagraph"/>
              <w:numPr>
                <w:ilvl w:val="0"/>
                <w:numId w:val="2"/>
              </w:numPr>
            </w:pPr>
            <w:r>
              <w:t>La barre de distance a été marquée.</w:t>
            </w:r>
          </w:p>
          <w:p w14:paraId="6673A878" w14:textId="77777777" w:rsidR="005F7692" w:rsidRDefault="005F7692" w:rsidP="00F239CE">
            <w:pPr>
              <w:pStyle w:val="ListParagraph"/>
              <w:numPr>
                <w:ilvl w:val="0"/>
                <w:numId w:val="2"/>
              </w:numPr>
            </w:pPr>
            <w:r>
              <w:t>Le bouton OK a été supprimé de la fenêtre de réponse.</w:t>
            </w:r>
          </w:p>
          <w:p w14:paraId="3489E004" w14:textId="75460E17" w:rsidR="005F7692" w:rsidRDefault="005F7692" w:rsidP="00F239CE">
            <w:pPr>
              <w:pStyle w:val="ListParagraph"/>
              <w:numPr>
                <w:ilvl w:val="0"/>
                <w:numId w:val="2"/>
              </w:numPr>
            </w:pPr>
            <w:r>
              <w:t>La première lettre du parcours (toujours A) est fournie dans le champ de saisie.</w:t>
            </w:r>
          </w:p>
        </w:tc>
      </w:tr>
    </w:tbl>
    <w:p w14:paraId="66346E41" w14:textId="24075AD4" w:rsidR="00D405C3" w:rsidRDefault="00D405C3"/>
    <w:tbl>
      <w:tblPr>
        <w:tblStyle w:val="TableGrid"/>
        <w:tblW w:w="0" w:type="auto"/>
        <w:tblLayout w:type="fixed"/>
        <w:tblLook w:val="04A0" w:firstRow="1" w:lastRow="0" w:firstColumn="1" w:lastColumn="0" w:noHBand="0" w:noVBand="1"/>
      </w:tblPr>
      <w:tblGrid>
        <w:gridCol w:w="1458"/>
        <w:gridCol w:w="1080"/>
        <w:gridCol w:w="547"/>
        <w:gridCol w:w="5771"/>
      </w:tblGrid>
      <w:tr w:rsidR="00D405C3" w14:paraId="35C822F1" w14:textId="77777777" w:rsidTr="00D405C3">
        <w:trPr>
          <w:trHeight w:val="864"/>
        </w:trPr>
        <w:tc>
          <w:tcPr>
            <w:tcW w:w="8856" w:type="dxa"/>
            <w:gridSpan w:val="4"/>
            <w:shd w:val="clear" w:color="auto" w:fill="C0C0C0"/>
            <w:vAlign w:val="center"/>
          </w:tcPr>
          <w:p w14:paraId="7445D34D" w14:textId="0D81C27A" w:rsidR="00D405C3" w:rsidRPr="00976D6F" w:rsidRDefault="00D405C3" w:rsidP="00D405C3">
            <w:pPr>
              <w:jc w:val="center"/>
              <w:rPr>
                <w:b/>
                <w:sz w:val="32"/>
                <w:szCs w:val="32"/>
              </w:rPr>
            </w:pPr>
            <w:r>
              <w:br w:type="page"/>
            </w:r>
            <w:r>
              <w:rPr>
                <w:b/>
                <w:sz w:val="32"/>
              </w:rPr>
              <w:t>VALIDATION POUR LES TESTS NC (PARTIE 2)</w:t>
            </w:r>
          </w:p>
        </w:tc>
      </w:tr>
      <w:tr w:rsidR="00D405C3" w14:paraId="15A4AADA" w14:textId="77777777" w:rsidTr="00D405C3">
        <w:tc>
          <w:tcPr>
            <w:tcW w:w="8856" w:type="dxa"/>
            <w:gridSpan w:val="4"/>
          </w:tcPr>
          <w:p w14:paraId="59F135AA" w14:textId="77777777" w:rsidR="00D405C3" w:rsidRPr="00976D6F" w:rsidRDefault="00D405C3" w:rsidP="00D405C3">
            <w:pPr>
              <w:rPr>
                <w:sz w:val="16"/>
                <w:szCs w:val="16"/>
              </w:rPr>
            </w:pPr>
          </w:p>
        </w:tc>
      </w:tr>
      <w:tr w:rsidR="00D405C3" w14:paraId="501FB6CF" w14:textId="77777777" w:rsidTr="00D405C3">
        <w:tc>
          <w:tcPr>
            <w:tcW w:w="2538" w:type="dxa"/>
            <w:gridSpan w:val="2"/>
            <w:tcBorders>
              <w:right w:val="nil"/>
            </w:tcBorders>
          </w:tcPr>
          <w:p w14:paraId="693B3CD8" w14:textId="77777777" w:rsidR="00D405C3" w:rsidRPr="00976D6F" w:rsidRDefault="00D405C3" w:rsidP="00D405C3">
            <w:pPr>
              <w:rPr>
                <w:b/>
              </w:rPr>
            </w:pPr>
            <w:r>
              <w:rPr>
                <w:b/>
              </w:rPr>
              <w:t>DATE</w:t>
            </w:r>
          </w:p>
        </w:tc>
        <w:tc>
          <w:tcPr>
            <w:tcW w:w="6318" w:type="dxa"/>
            <w:gridSpan w:val="2"/>
            <w:tcBorders>
              <w:left w:val="nil"/>
            </w:tcBorders>
          </w:tcPr>
          <w:p w14:paraId="209A0788" w14:textId="53E68FF4" w:rsidR="00D405C3" w:rsidRDefault="00D405C3" w:rsidP="00D405C3">
            <w:r>
              <w:t>Septembre 2013 – Octobre 2014</w:t>
            </w:r>
          </w:p>
        </w:tc>
      </w:tr>
      <w:tr w:rsidR="00D405C3" w14:paraId="1B7B81DD" w14:textId="77777777" w:rsidTr="00D405C3">
        <w:tc>
          <w:tcPr>
            <w:tcW w:w="8856" w:type="dxa"/>
            <w:gridSpan w:val="4"/>
          </w:tcPr>
          <w:p w14:paraId="6BB50B33" w14:textId="77777777" w:rsidR="00D405C3" w:rsidRPr="00976D6F" w:rsidRDefault="00D405C3" w:rsidP="00D405C3">
            <w:pPr>
              <w:rPr>
                <w:b/>
                <w:sz w:val="16"/>
                <w:szCs w:val="16"/>
              </w:rPr>
            </w:pPr>
          </w:p>
        </w:tc>
      </w:tr>
      <w:tr w:rsidR="00D405C3" w14:paraId="4A2B54A4" w14:textId="77777777" w:rsidTr="00D405C3">
        <w:tc>
          <w:tcPr>
            <w:tcW w:w="2538" w:type="dxa"/>
            <w:gridSpan w:val="2"/>
            <w:tcBorders>
              <w:right w:val="nil"/>
            </w:tcBorders>
          </w:tcPr>
          <w:p w14:paraId="6C31C922" w14:textId="77777777" w:rsidR="00D405C3" w:rsidRPr="00976D6F" w:rsidRDefault="00D405C3" w:rsidP="00D405C3">
            <w:pPr>
              <w:rPr>
                <w:b/>
              </w:rPr>
            </w:pPr>
            <w:r>
              <w:rPr>
                <w:b/>
              </w:rPr>
              <w:t>VERSION DE L’OEEEP</w:t>
            </w:r>
          </w:p>
        </w:tc>
        <w:tc>
          <w:tcPr>
            <w:tcW w:w="6318" w:type="dxa"/>
            <w:gridSpan w:val="2"/>
            <w:tcBorders>
              <w:left w:val="nil"/>
            </w:tcBorders>
          </w:tcPr>
          <w:p w14:paraId="4CFE12FD" w14:textId="7BC069C1" w:rsidR="00D405C3" w:rsidRDefault="00D405C3" w:rsidP="00D405C3">
            <w:r>
              <w:t>4.0</w:t>
            </w:r>
          </w:p>
        </w:tc>
      </w:tr>
      <w:tr w:rsidR="00D405C3" w14:paraId="6DC96690" w14:textId="77777777" w:rsidTr="00D405C3">
        <w:tc>
          <w:tcPr>
            <w:tcW w:w="8856" w:type="dxa"/>
            <w:gridSpan w:val="4"/>
          </w:tcPr>
          <w:p w14:paraId="7B5B0485" w14:textId="77777777" w:rsidR="00D405C3" w:rsidRPr="00976D6F" w:rsidRDefault="00D405C3" w:rsidP="00D405C3">
            <w:pPr>
              <w:rPr>
                <w:b/>
                <w:sz w:val="16"/>
                <w:szCs w:val="16"/>
              </w:rPr>
            </w:pPr>
          </w:p>
        </w:tc>
      </w:tr>
      <w:tr w:rsidR="00D405C3" w14:paraId="601544E8" w14:textId="77777777" w:rsidTr="00905B80">
        <w:tc>
          <w:tcPr>
            <w:tcW w:w="3085" w:type="dxa"/>
            <w:gridSpan w:val="3"/>
            <w:tcBorders>
              <w:right w:val="nil"/>
            </w:tcBorders>
          </w:tcPr>
          <w:p w14:paraId="62709314" w14:textId="7B0CEBF4" w:rsidR="00D405C3" w:rsidRPr="00976D6F" w:rsidRDefault="001B7D37" w:rsidP="00D405C3">
            <w:pPr>
              <w:rPr>
                <w:b/>
              </w:rPr>
            </w:pPr>
            <w:hyperlink r:id="rId11">
              <w:r w:rsidR="0055453C">
                <w:rPr>
                  <w:rStyle w:val="Hyperlink"/>
                  <w:b/>
                </w:rPr>
                <w:t>RAPPORT FINAL</w:t>
              </w:r>
            </w:hyperlink>
            <w:r w:rsidR="0055453C">
              <w:rPr>
                <w:b/>
              </w:rPr>
              <w:t xml:space="preserve"> DATE</w:t>
            </w:r>
          </w:p>
        </w:tc>
        <w:tc>
          <w:tcPr>
            <w:tcW w:w="5771" w:type="dxa"/>
            <w:tcBorders>
              <w:left w:val="nil"/>
            </w:tcBorders>
          </w:tcPr>
          <w:p w14:paraId="13C74E58" w14:textId="4C9FE0C5" w:rsidR="00D405C3" w:rsidRDefault="00D405C3" w:rsidP="00D405C3">
            <w:r>
              <w:t>31 octobre 2014</w:t>
            </w:r>
          </w:p>
        </w:tc>
      </w:tr>
      <w:tr w:rsidR="00D405C3" w14:paraId="700B1AA7" w14:textId="77777777" w:rsidTr="00D405C3">
        <w:tc>
          <w:tcPr>
            <w:tcW w:w="8856" w:type="dxa"/>
            <w:gridSpan w:val="4"/>
          </w:tcPr>
          <w:p w14:paraId="2B01684D" w14:textId="77777777" w:rsidR="00D405C3" w:rsidRPr="00976D6F" w:rsidRDefault="00D405C3" w:rsidP="00D405C3">
            <w:pPr>
              <w:rPr>
                <w:sz w:val="16"/>
                <w:szCs w:val="16"/>
              </w:rPr>
            </w:pPr>
          </w:p>
        </w:tc>
      </w:tr>
      <w:tr w:rsidR="00D405C3" w14:paraId="29CEB82D" w14:textId="77777777" w:rsidTr="00D405C3">
        <w:tc>
          <w:tcPr>
            <w:tcW w:w="1458" w:type="dxa"/>
            <w:tcBorders>
              <w:bottom w:val="nil"/>
              <w:right w:val="nil"/>
            </w:tcBorders>
          </w:tcPr>
          <w:p w14:paraId="750A59D9" w14:textId="77777777" w:rsidR="00D405C3" w:rsidRPr="00976D6F" w:rsidRDefault="00D405C3" w:rsidP="00D405C3">
            <w:pPr>
              <w:rPr>
                <w:b/>
              </w:rPr>
            </w:pPr>
            <w:r>
              <w:rPr>
                <w:b/>
              </w:rPr>
              <w:t>RÉSUMÉ</w:t>
            </w:r>
          </w:p>
        </w:tc>
        <w:tc>
          <w:tcPr>
            <w:tcW w:w="7398" w:type="dxa"/>
            <w:gridSpan w:val="3"/>
            <w:tcBorders>
              <w:left w:val="nil"/>
              <w:bottom w:val="nil"/>
            </w:tcBorders>
          </w:tcPr>
          <w:p w14:paraId="2925CA4D" w14:textId="460E6F81" w:rsidR="00D405C3" w:rsidRDefault="000E0011" w:rsidP="00D405C3">
            <w:r>
              <w:t xml:space="preserve">Validé le logiciel </w:t>
            </w:r>
            <w:r w:rsidR="00905B80">
              <w:t>O</w:t>
            </w:r>
            <w:r>
              <w:t xml:space="preserve">EEEP (n=160) pour plusieurs </w:t>
            </w:r>
          </w:p>
        </w:tc>
      </w:tr>
      <w:tr w:rsidR="00D405C3" w14:paraId="11592517" w14:textId="77777777" w:rsidTr="00D405C3">
        <w:tc>
          <w:tcPr>
            <w:tcW w:w="8856" w:type="dxa"/>
            <w:gridSpan w:val="4"/>
            <w:tcBorders>
              <w:top w:val="nil"/>
            </w:tcBorders>
            <w:shd w:val="clear" w:color="auto" w:fill="auto"/>
          </w:tcPr>
          <w:p w14:paraId="7A7C65C5" w14:textId="036F6432" w:rsidR="00D405C3" w:rsidRDefault="00D405C3" w:rsidP="0090124F">
            <w:r>
              <w:t xml:space="preserve">tests NC normalisés, notamment les tests DKEFS, PASAT, PVT et TOVA, et sélectionné un groupe de sous-tests pour les tests généraux WAIS-IV et WMS-IV. Réalisé un histogramme ainsi que des statistiques descriptives, comprenant des mesures de tendance centrale, variabilité et dissymétrie, pour chaque mesure de performance de chacune des tâches intégrées dans l’OEEEP et de chaque test NC normalisé. Documenté des analyses corrélationnelles comparant la performance pour les tâches de l’OEEEP, les tests NC normalisés, ainsi qu’entre les tâches de l’OEEEP et les tests NC normalisés. Réalisé une analyse factorielle de confirmation (AFC), en vue de vérifier si les tests NC intégrés dans l’OEEEP mesuraient correctement des concepts cognitifs clés (rapidité du cheminement mental, mémoire, attention et maîtrise des réponses). Bien que les corrélations entre les tâches de l’OEEEP et leurs tests NC correspondants aient été relativement faibles, l’OEEEP, dans l’ensemble, a pris en compte un grand nombre d’écarts dans l’ensemble des tests NC normalisés. Au vu des résultats, nous avons conclu que l’OEEEP est une télécopie relativement bonne de l’ensemble des tests NC normalisés dont il est dérivé. </w:t>
            </w:r>
            <w:r w:rsidR="0090124F">
              <w:t>Il a été</w:t>
            </w:r>
            <w:r>
              <w:t xml:space="preserve"> recommandé que les prochaines étapes de validation de l’OEEEP soient d’effectuer une étude du taux d’acquisition afin d’établir si et quand la performance se stabilise pour les tâches d’</w:t>
            </w:r>
            <w:r w:rsidR="00905B80">
              <w:t>O</w:t>
            </w:r>
            <w:r>
              <w:t>EEEP, pour ensuite réaliser une étude de fiabilité de l’essai⁄contre-essai pour les tâches d’</w:t>
            </w:r>
            <w:r w:rsidR="00905B80">
              <w:t>O</w:t>
            </w:r>
            <w:r>
              <w:t xml:space="preserve">EEEP. Par la suite, </w:t>
            </w:r>
            <w:r w:rsidR="0090124F">
              <w:t>il a été</w:t>
            </w:r>
            <w:r>
              <w:t xml:space="preserve"> recommandé que l’OEEEP soit testé pour sa sensibilité à détecter certaines formes de changement au niveau cognitif (par ex., un changement cognitif dû à la fatigue).   </w:t>
            </w:r>
          </w:p>
        </w:tc>
      </w:tr>
      <w:tr w:rsidR="007E58F1" w14:paraId="39F4276A" w14:textId="77777777" w:rsidTr="00D405C3">
        <w:tc>
          <w:tcPr>
            <w:tcW w:w="8856" w:type="dxa"/>
            <w:gridSpan w:val="4"/>
            <w:tcBorders>
              <w:top w:val="nil"/>
            </w:tcBorders>
            <w:shd w:val="clear" w:color="auto" w:fill="auto"/>
          </w:tcPr>
          <w:p w14:paraId="3CDE5F20" w14:textId="77777777" w:rsidR="007E58F1" w:rsidRPr="007E58F1" w:rsidRDefault="007E58F1" w:rsidP="000E0011">
            <w:pPr>
              <w:rPr>
                <w:sz w:val="16"/>
                <w:szCs w:val="16"/>
              </w:rPr>
            </w:pPr>
          </w:p>
        </w:tc>
      </w:tr>
      <w:tr w:rsidR="007E58F1" w14:paraId="77779B15" w14:textId="77777777" w:rsidTr="00D405C3">
        <w:tc>
          <w:tcPr>
            <w:tcW w:w="8856" w:type="dxa"/>
            <w:gridSpan w:val="4"/>
            <w:tcBorders>
              <w:top w:val="nil"/>
            </w:tcBorders>
            <w:shd w:val="clear" w:color="auto" w:fill="auto"/>
          </w:tcPr>
          <w:p w14:paraId="145762D7" w14:textId="04824FB6" w:rsidR="007E58F1" w:rsidRPr="007E58F1" w:rsidRDefault="001B7D37" w:rsidP="000E0011">
            <w:pPr>
              <w:rPr>
                <w:b/>
              </w:rPr>
            </w:pPr>
            <w:hyperlink r:id="rId12">
              <w:r w:rsidR="0055453C">
                <w:rPr>
                  <w:rStyle w:val="Hyperlink"/>
                  <w:b/>
                </w:rPr>
                <w:t>FICHIERS DES ANALYSES</w:t>
              </w:r>
            </w:hyperlink>
          </w:p>
        </w:tc>
      </w:tr>
      <w:tr w:rsidR="00D405C3" w14:paraId="5F644039" w14:textId="77777777" w:rsidTr="00D405C3">
        <w:tc>
          <w:tcPr>
            <w:tcW w:w="8856" w:type="dxa"/>
            <w:gridSpan w:val="4"/>
            <w:tcBorders>
              <w:bottom w:val="single" w:sz="4" w:space="0" w:color="auto"/>
            </w:tcBorders>
          </w:tcPr>
          <w:p w14:paraId="23F093D6" w14:textId="77777777" w:rsidR="00D405C3" w:rsidRPr="00F9149D" w:rsidRDefault="00D405C3" w:rsidP="00D405C3">
            <w:pPr>
              <w:rPr>
                <w:sz w:val="16"/>
                <w:szCs w:val="16"/>
              </w:rPr>
            </w:pPr>
          </w:p>
        </w:tc>
      </w:tr>
      <w:tr w:rsidR="00D405C3" w14:paraId="49590DA6" w14:textId="77777777" w:rsidTr="00D405C3">
        <w:tc>
          <w:tcPr>
            <w:tcW w:w="8856" w:type="dxa"/>
            <w:gridSpan w:val="4"/>
            <w:tcBorders>
              <w:bottom w:val="nil"/>
            </w:tcBorders>
          </w:tcPr>
          <w:p w14:paraId="2400AF7D" w14:textId="77777777" w:rsidR="00D405C3" w:rsidRPr="004750B5" w:rsidRDefault="00D405C3" w:rsidP="00D405C3">
            <w:r>
              <w:rPr>
                <w:b/>
              </w:rPr>
              <w:lastRenderedPageBreak/>
              <w:t>MODIFICATIONS APPORTÉES AU LOGICIEL AVANT LES ESSAIS</w:t>
            </w:r>
          </w:p>
        </w:tc>
      </w:tr>
      <w:tr w:rsidR="00D405C3" w14:paraId="10A48B9F" w14:textId="77777777" w:rsidTr="00D405C3">
        <w:tc>
          <w:tcPr>
            <w:tcW w:w="1458" w:type="dxa"/>
            <w:tcBorders>
              <w:top w:val="nil"/>
            </w:tcBorders>
            <w:vAlign w:val="center"/>
          </w:tcPr>
          <w:p w14:paraId="786D7ED4" w14:textId="77777777" w:rsidR="00D405C3" w:rsidRPr="00F239CE" w:rsidRDefault="00D405C3" w:rsidP="00D405C3">
            <w:pPr>
              <w:jc w:val="center"/>
            </w:pPr>
            <w:r>
              <w:t>Utilisabilité générale</w:t>
            </w:r>
          </w:p>
        </w:tc>
        <w:tc>
          <w:tcPr>
            <w:tcW w:w="7398" w:type="dxa"/>
            <w:gridSpan w:val="3"/>
            <w:tcBorders>
              <w:top w:val="nil"/>
            </w:tcBorders>
          </w:tcPr>
          <w:p w14:paraId="25D42A5C" w14:textId="77777777" w:rsidR="00D405C3" w:rsidRPr="0099238F" w:rsidRDefault="0099238F" w:rsidP="00D405C3">
            <w:pPr>
              <w:pStyle w:val="ListParagraph"/>
              <w:numPr>
                <w:ilvl w:val="0"/>
                <w:numId w:val="2"/>
              </w:numPr>
              <w:rPr>
                <w:b/>
                <w:u w:val="single"/>
              </w:rPr>
            </w:pPr>
            <w:r>
              <w:t>Le robot mobile s’est aligné automatiquement et de manière optimale pour la tâche d’extraction de roches lorsqu’il s’est trouvé à une distance préétablie du lieu d’extraction de roches.</w:t>
            </w:r>
          </w:p>
          <w:p w14:paraId="0506B8CE" w14:textId="77777777" w:rsidR="0099238F" w:rsidRPr="0099238F" w:rsidRDefault="0099238F" w:rsidP="00D405C3">
            <w:pPr>
              <w:pStyle w:val="ListParagraph"/>
              <w:numPr>
                <w:ilvl w:val="0"/>
                <w:numId w:val="2"/>
              </w:numPr>
              <w:rPr>
                <w:b/>
                <w:u w:val="single"/>
              </w:rPr>
            </w:pPr>
            <w:r>
              <w:t>Une fonctionnalité de bascule entre ON et OFF a été créée pour la fonction automatique d’alignement pour l’extraction de roches.</w:t>
            </w:r>
          </w:p>
          <w:p w14:paraId="67ADEBD8" w14:textId="77777777" w:rsidR="0099238F" w:rsidRPr="0099238F" w:rsidRDefault="0099238F" w:rsidP="00D405C3">
            <w:pPr>
              <w:pStyle w:val="ListParagraph"/>
              <w:numPr>
                <w:ilvl w:val="0"/>
                <w:numId w:val="2"/>
              </w:numPr>
              <w:rPr>
                <w:b/>
                <w:u w:val="single"/>
              </w:rPr>
            </w:pPr>
            <w:r>
              <w:t>Un sous-menu d’entraînement a été créé afin de permettre à un utilisateur de sélectionner / répéter n’importe quel module d’entraînement sans avoir à quitter le programme après avoir terminé le module précédent.</w:t>
            </w:r>
          </w:p>
          <w:p w14:paraId="601220E1" w14:textId="77777777" w:rsidR="0099238F" w:rsidRPr="0099238F" w:rsidRDefault="0099238F" w:rsidP="00D405C3">
            <w:pPr>
              <w:pStyle w:val="ListParagraph"/>
              <w:numPr>
                <w:ilvl w:val="0"/>
                <w:numId w:val="2"/>
              </w:numPr>
              <w:rPr>
                <w:b/>
                <w:u w:val="single"/>
              </w:rPr>
            </w:pPr>
            <w:r>
              <w:t>Modifié une formulation de la séance d’entraînement afin d’indiquer que le programme se fermerait après chaque tâche d’entraînement.</w:t>
            </w:r>
          </w:p>
          <w:p w14:paraId="42A76081" w14:textId="77777777" w:rsidR="0099238F" w:rsidRPr="0099238F" w:rsidRDefault="0099238F" w:rsidP="00D405C3">
            <w:pPr>
              <w:pStyle w:val="ListParagraph"/>
              <w:numPr>
                <w:ilvl w:val="0"/>
                <w:numId w:val="2"/>
              </w:numPr>
              <w:rPr>
                <w:b/>
                <w:u w:val="single"/>
              </w:rPr>
            </w:pPr>
            <w:r>
              <w:t>Réduit le temps entre le commencement des tâches NC intégrées, afin de veiller à ce que toutes les tâches soient exécutées avant que l’utilisateur ne termine la séance.</w:t>
            </w:r>
          </w:p>
          <w:p w14:paraId="14FEDE58" w14:textId="1AB591CF" w:rsidR="0099238F" w:rsidRPr="006D523D" w:rsidRDefault="0099238F" w:rsidP="006D523D">
            <w:pPr>
              <w:rPr>
                <w:b/>
                <w:u w:val="single"/>
              </w:rPr>
            </w:pPr>
          </w:p>
        </w:tc>
      </w:tr>
      <w:tr w:rsidR="00D405C3" w14:paraId="7F21F16E" w14:textId="77777777" w:rsidTr="00D405C3">
        <w:tc>
          <w:tcPr>
            <w:tcW w:w="1458" w:type="dxa"/>
            <w:vAlign w:val="center"/>
          </w:tcPr>
          <w:p w14:paraId="79A03886" w14:textId="77777777" w:rsidR="00D405C3" w:rsidRDefault="00D405C3" w:rsidP="00D405C3">
            <w:pPr>
              <w:jc w:val="center"/>
            </w:pPr>
            <w:r>
              <w:t>CIT</w:t>
            </w:r>
          </w:p>
        </w:tc>
        <w:tc>
          <w:tcPr>
            <w:tcW w:w="7398" w:type="dxa"/>
            <w:gridSpan w:val="3"/>
          </w:tcPr>
          <w:p w14:paraId="5FACDF79" w14:textId="77777777" w:rsidR="00D405C3" w:rsidRDefault="0099238F" w:rsidP="0099238F">
            <w:pPr>
              <w:pStyle w:val="ListParagraph"/>
              <w:numPr>
                <w:ilvl w:val="0"/>
                <w:numId w:val="2"/>
              </w:numPr>
            </w:pPr>
            <w:r>
              <w:t>Les messages des catégories Ergonomique et Technique ont été regroupés en une seule catégorie (Technique), modifiant ainsi cette tâche de 3 choix limités de réponses à 2 choix limités de réponses.</w:t>
            </w:r>
          </w:p>
          <w:p w14:paraId="58CF5E94" w14:textId="77777777" w:rsidR="0099238F" w:rsidRDefault="0099238F" w:rsidP="0099238F">
            <w:pPr>
              <w:pStyle w:val="ListParagraph"/>
              <w:numPr>
                <w:ilvl w:val="0"/>
                <w:numId w:val="2"/>
              </w:numPr>
            </w:pPr>
            <w:r>
              <w:t>Les messages ne concernant pas le scénario de mission ont été supprimés.</w:t>
            </w:r>
          </w:p>
          <w:p w14:paraId="15ABE94D" w14:textId="161FA036" w:rsidR="0099238F" w:rsidRDefault="0099238F" w:rsidP="0099238F">
            <w:pPr>
              <w:pStyle w:val="ListParagraph"/>
              <w:numPr>
                <w:ilvl w:val="0"/>
                <w:numId w:val="2"/>
              </w:numPr>
            </w:pPr>
            <w:r>
              <w:t>D’autres messages Temps et Technique ont été créés, soit un total de 16 messages Technique et 16 messages Temps (32 messages au total).</w:t>
            </w:r>
          </w:p>
        </w:tc>
      </w:tr>
      <w:tr w:rsidR="00D405C3" w14:paraId="57C85FA2" w14:textId="77777777" w:rsidTr="00D405C3">
        <w:tc>
          <w:tcPr>
            <w:tcW w:w="1458" w:type="dxa"/>
            <w:vAlign w:val="center"/>
          </w:tcPr>
          <w:p w14:paraId="1F233EA0" w14:textId="77777777" w:rsidR="00D405C3" w:rsidRDefault="00D405C3" w:rsidP="00D405C3">
            <w:pPr>
              <w:jc w:val="center"/>
            </w:pPr>
            <w:r>
              <w:t>LNSAT</w:t>
            </w:r>
          </w:p>
        </w:tc>
        <w:tc>
          <w:tcPr>
            <w:tcW w:w="7398" w:type="dxa"/>
            <w:gridSpan w:val="3"/>
          </w:tcPr>
          <w:p w14:paraId="1B77A381" w14:textId="6C457374" w:rsidR="00D405C3" w:rsidRDefault="0099238F" w:rsidP="00D405C3">
            <w:pPr>
              <w:pStyle w:val="ListParagraph"/>
              <w:numPr>
                <w:ilvl w:val="0"/>
                <w:numId w:val="2"/>
              </w:numPr>
            </w:pPr>
            <w:r>
              <w:t>Une signalisation optique est transmise pour la section entraînement de cette tâche, lorsque le participant a saisi une mauvaise réponse.  La mauvaise réponse est montrée en rouge et les bonnes réponses en vert en-dessous.</w:t>
            </w:r>
          </w:p>
        </w:tc>
      </w:tr>
      <w:tr w:rsidR="00D405C3" w14:paraId="52CD5A66" w14:textId="77777777" w:rsidTr="00D405C3">
        <w:tc>
          <w:tcPr>
            <w:tcW w:w="1458" w:type="dxa"/>
            <w:vAlign w:val="center"/>
          </w:tcPr>
          <w:p w14:paraId="3D09A68A" w14:textId="77777777" w:rsidR="00D405C3" w:rsidRDefault="00D405C3" w:rsidP="00D405C3">
            <w:pPr>
              <w:jc w:val="center"/>
            </w:pPr>
            <w:r>
              <w:t>RCT</w:t>
            </w:r>
          </w:p>
        </w:tc>
        <w:tc>
          <w:tcPr>
            <w:tcW w:w="7398" w:type="dxa"/>
            <w:gridSpan w:val="3"/>
          </w:tcPr>
          <w:p w14:paraId="7D47E0D8" w14:textId="7E945F01" w:rsidR="00D405C3" w:rsidRDefault="006A0B66" w:rsidP="00D405C3">
            <w:pPr>
              <w:pStyle w:val="ListParagraph"/>
              <w:numPr>
                <w:ilvl w:val="0"/>
                <w:numId w:val="2"/>
              </w:numPr>
            </w:pPr>
            <w:r>
              <w:t xml:space="preserve">Cette tâche n’apparaît plus pendant l’extraction de roches. Toutefois, </w:t>
            </w:r>
            <w:r w:rsidR="003D0295">
              <w:t>le RCT</w:t>
            </w:r>
            <w:r>
              <w:t xml:space="preserve"> apparaît désormais tout au long du scénario de mission (c.-à-d. lorsque le participant pilote le robot mobile d’un repérage de buts à un autre), tant qu’aucun autre test NC n’est en cours.</w:t>
            </w:r>
          </w:p>
          <w:p w14:paraId="726D300E" w14:textId="77777777" w:rsidR="006A0B66" w:rsidRDefault="006A0B66" w:rsidP="00D405C3">
            <w:pPr>
              <w:pStyle w:val="ListParagraph"/>
              <w:numPr>
                <w:ilvl w:val="0"/>
                <w:numId w:val="2"/>
              </w:numPr>
            </w:pPr>
            <w:r>
              <w:t>Un signal sonore se fait entendre immédiatement avant qu’un message RCT s’affiche.</w:t>
            </w:r>
          </w:p>
          <w:p w14:paraId="65FA6A50" w14:textId="2DF68861" w:rsidR="006A0B66" w:rsidRDefault="006A0B66" w:rsidP="00D405C3">
            <w:pPr>
              <w:pStyle w:val="ListParagraph"/>
              <w:numPr>
                <w:ilvl w:val="0"/>
                <w:numId w:val="2"/>
              </w:numPr>
            </w:pPr>
            <w:r>
              <w:t>Supprimé la distinction entre les messages « Général » et « Mission ». Tous les messages commencent désormais par « Général : ».</w:t>
            </w:r>
          </w:p>
        </w:tc>
      </w:tr>
      <w:tr w:rsidR="00D405C3" w14:paraId="622E0708" w14:textId="77777777" w:rsidTr="00D405C3">
        <w:tc>
          <w:tcPr>
            <w:tcW w:w="1458" w:type="dxa"/>
            <w:vAlign w:val="center"/>
          </w:tcPr>
          <w:p w14:paraId="2B11E501" w14:textId="77777777" w:rsidR="00D405C3" w:rsidRDefault="00D405C3" w:rsidP="00D405C3">
            <w:pPr>
              <w:jc w:val="center"/>
            </w:pPr>
            <w:r>
              <w:t>PMRCT</w:t>
            </w:r>
          </w:p>
        </w:tc>
        <w:tc>
          <w:tcPr>
            <w:tcW w:w="7398" w:type="dxa"/>
            <w:gridSpan w:val="3"/>
          </w:tcPr>
          <w:p w14:paraId="254ACCCA" w14:textId="77777777" w:rsidR="00D405C3" w:rsidRDefault="006A0B66" w:rsidP="00D405C3">
            <w:pPr>
              <w:pStyle w:val="ListParagraph"/>
              <w:numPr>
                <w:ilvl w:val="0"/>
                <w:numId w:val="2"/>
              </w:numPr>
            </w:pPr>
            <w:r>
              <w:t xml:space="preserve">La partie </w:t>
            </w:r>
            <w:r>
              <w:rPr>
                <w:u w:val="single"/>
              </w:rPr>
              <w:t>confirmation</w:t>
            </w:r>
            <w:r>
              <w:t xml:space="preserve"> de cette tâche a été supprimée.</w:t>
            </w:r>
          </w:p>
          <w:p w14:paraId="6C7543EA" w14:textId="77777777" w:rsidR="006A0B66" w:rsidRDefault="006A0B66" w:rsidP="00D405C3">
            <w:pPr>
              <w:pStyle w:val="ListParagraph"/>
              <w:numPr>
                <w:ilvl w:val="0"/>
                <w:numId w:val="2"/>
              </w:numPr>
            </w:pPr>
            <w:r>
              <w:t>Le nombre de calculs mentaux est passé de un à cinq.</w:t>
            </w:r>
          </w:p>
          <w:p w14:paraId="03CFF82A" w14:textId="77777777" w:rsidR="006A0B66" w:rsidRDefault="006A0B66" w:rsidP="00D405C3">
            <w:pPr>
              <w:pStyle w:val="ListParagraph"/>
              <w:numPr>
                <w:ilvl w:val="0"/>
                <w:numId w:val="2"/>
              </w:numPr>
            </w:pPr>
            <w:r>
              <w:t xml:space="preserve">Les participants doivent désormais multiplier la vitesse de la tempête par le temps d’arrivée de la tempête pour calculer la distance de la tempête. La distance de la tempête augmente ou </w:t>
            </w:r>
            <w:r>
              <w:lastRenderedPageBreak/>
              <w:t>diminue systématiquement au cours des cinq calculs.</w:t>
            </w:r>
          </w:p>
          <w:p w14:paraId="693CF273" w14:textId="3F2E1F0C" w:rsidR="006A0B66" w:rsidRDefault="006A0B66" w:rsidP="001B61F5">
            <w:pPr>
              <w:pStyle w:val="ListParagraph"/>
              <w:numPr>
                <w:ilvl w:val="0"/>
                <w:numId w:val="2"/>
              </w:numPr>
            </w:pPr>
            <w:r>
              <w:t xml:space="preserve">La question se rattachant à la partie </w:t>
            </w:r>
            <w:r>
              <w:rPr>
                <w:u w:val="single"/>
              </w:rPr>
              <w:t>décision</w:t>
            </w:r>
            <w:r>
              <w:t xml:space="preserve"> de cette tâche a été reformulée comme suit : </w:t>
            </w:r>
            <w:r w:rsidR="001B61F5" w:rsidRPr="001B61F5">
              <w:rPr>
                <w:b/>
                <w:i/>
              </w:rPr>
              <w:t>“</w:t>
            </w:r>
            <w:r w:rsidR="009A6D60" w:rsidRPr="001B61F5">
              <w:rPr>
                <w:b/>
                <w:i/>
              </w:rPr>
              <w:t xml:space="preserve">It </w:t>
            </w:r>
            <w:proofErr w:type="spellStart"/>
            <w:r w:rsidR="009A6D60" w:rsidRPr="001B61F5">
              <w:rPr>
                <w:b/>
                <w:i/>
              </w:rPr>
              <w:t>is</w:t>
            </w:r>
            <w:proofErr w:type="spellEnd"/>
            <w:r w:rsidR="009A6D60" w:rsidRPr="001B61F5">
              <w:rPr>
                <w:b/>
                <w:i/>
              </w:rPr>
              <w:t xml:space="preserve"> </w:t>
            </w:r>
            <w:proofErr w:type="spellStart"/>
            <w:r w:rsidR="009A6D60" w:rsidRPr="001B61F5">
              <w:rPr>
                <w:b/>
                <w:i/>
              </w:rPr>
              <w:t>recommended</w:t>
            </w:r>
            <w:proofErr w:type="spellEnd"/>
            <w:r w:rsidR="009A6D60" w:rsidRPr="001B61F5">
              <w:rPr>
                <w:b/>
                <w:i/>
              </w:rPr>
              <w:t xml:space="preserve"> </w:t>
            </w:r>
            <w:proofErr w:type="spellStart"/>
            <w:r w:rsidR="009A6D60" w:rsidRPr="001B61F5">
              <w:rPr>
                <w:b/>
                <w:i/>
              </w:rPr>
              <w:t>that</w:t>
            </w:r>
            <w:proofErr w:type="spellEnd"/>
            <w:r w:rsidR="009A6D60" w:rsidRPr="001B61F5">
              <w:rPr>
                <w:b/>
                <w:i/>
              </w:rPr>
              <w:t xml:space="preserve"> </w:t>
            </w:r>
            <w:proofErr w:type="spellStart"/>
            <w:r w:rsidR="009A6D60" w:rsidRPr="001B61F5">
              <w:rPr>
                <w:b/>
                <w:i/>
              </w:rPr>
              <w:t>you</w:t>
            </w:r>
            <w:proofErr w:type="spellEnd"/>
            <w:r w:rsidR="009A6D60" w:rsidRPr="001B61F5">
              <w:rPr>
                <w:b/>
                <w:i/>
              </w:rPr>
              <w:t xml:space="preserve"> power down the Rover if the </w:t>
            </w:r>
            <w:proofErr w:type="spellStart"/>
            <w:r w:rsidR="009A6D60" w:rsidRPr="001B61F5">
              <w:rPr>
                <w:b/>
                <w:i/>
              </w:rPr>
              <w:t>storm</w:t>
            </w:r>
            <w:proofErr w:type="spellEnd"/>
            <w:r w:rsidR="009A6D60" w:rsidRPr="001B61F5">
              <w:rPr>
                <w:b/>
                <w:i/>
              </w:rPr>
              <w:t xml:space="preserve"> </w:t>
            </w:r>
            <w:proofErr w:type="spellStart"/>
            <w:r w:rsidR="009A6D60" w:rsidRPr="001B61F5">
              <w:rPr>
                <w:b/>
                <w:i/>
              </w:rPr>
              <w:t>is</w:t>
            </w:r>
            <w:proofErr w:type="spellEnd"/>
            <w:r w:rsidR="009A6D60" w:rsidRPr="001B61F5">
              <w:rPr>
                <w:b/>
                <w:i/>
              </w:rPr>
              <w:t xml:space="preserve"> </w:t>
            </w:r>
            <w:proofErr w:type="spellStart"/>
            <w:r w:rsidR="009A6D60" w:rsidRPr="001B61F5">
              <w:rPr>
                <w:b/>
                <w:i/>
              </w:rPr>
              <w:t>approaching</w:t>
            </w:r>
            <w:proofErr w:type="spellEnd"/>
            <w:r w:rsidR="009A6D60" w:rsidRPr="001B61F5">
              <w:rPr>
                <w:b/>
                <w:i/>
              </w:rPr>
              <w:t xml:space="preserve">. Do </w:t>
            </w:r>
            <w:proofErr w:type="spellStart"/>
            <w:r w:rsidR="009A6D60" w:rsidRPr="001B61F5">
              <w:rPr>
                <w:b/>
                <w:i/>
              </w:rPr>
              <w:t>you</w:t>
            </w:r>
            <w:proofErr w:type="spellEnd"/>
            <w:r w:rsidR="009A6D60" w:rsidRPr="001B61F5">
              <w:rPr>
                <w:b/>
                <w:i/>
              </w:rPr>
              <w:t xml:space="preserve"> </w:t>
            </w:r>
            <w:proofErr w:type="spellStart"/>
            <w:r w:rsidR="009A6D60" w:rsidRPr="001B61F5">
              <w:rPr>
                <w:b/>
                <w:i/>
              </w:rPr>
              <w:t>want</w:t>
            </w:r>
            <w:proofErr w:type="spellEnd"/>
            <w:r w:rsidR="009A6D60" w:rsidRPr="001B61F5">
              <w:rPr>
                <w:b/>
                <w:i/>
              </w:rPr>
              <w:t xml:space="preserve"> to power down the Rover”</w:t>
            </w:r>
            <w:r w:rsidR="009A6D60">
              <w:t xml:space="preserve"> </w:t>
            </w:r>
            <w:r w:rsidR="001B61F5">
              <w:t>[</w:t>
            </w:r>
            <w:r>
              <w:t>Nous vous recommandons d’éteindre le robot mobile lorsque la tempête approche. Voulez-vous éteindre le robot mobile?</w:t>
            </w:r>
            <w:r w:rsidR="001B61F5">
              <w:t>]</w:t>
            </w:r>
          </w:p>
        </w:tc>
      </w:tr>
      <w:tr w:rsidR="00D405C3" w14:paraId="2FF05818" w14:textId="77777777" w:rsidTr="00D405C3">
        <w:tc>
          <w:tcPr>
            <w:tcW w:w="1458" w:type="dxa"/>
            <w:vAlign w:val="center"/>
          </w:tcPr>
          <w:p w14:paraId="1AD0B545" w14:textId="77777777" w:rsidR="00D405C3" w:rsidRDefault="00D405C3" w:rsidP="00D405C3">
            <w:pPr>
              <w:jc w:val="center"/>
            </w:pPr>
            <w:r>
              <w:lastRenderedPageBreak/>
              <w:t>SCT</w:t>
            </w:r>
          </w:p>
        </w:tc>
        <w:tc>
          <w:tcPr>
            <w:tcW w:w="7398" w:type="dxa"/>
            <w:gridSpan w:val="3"/>
          </w:tcPr>
          <w:p w14:paraId="56C71EAB" w14:textId="50B36D25" w:rsidR="00D405C3" w:rsidRDefault="006A0B66" w:rsidP="00D405C3">
            <w:pPr>
              <w:pStyle w:val="ListParagraph"/>
              <w:numPr>
                <w:ilvl w:val="0"/>
                <w:numId w:val="2"/>
              </w:numPr>
            </w:pPr>
            <w:r>
              <w:t>L’affichage du témoin d’état des roues a été recentré sur l’écran et grossi lorsque la tâche SCT est en cours.</w:t>
            </w:r>
          </w:p>
        </w:tc>
      </w:tr>
      <w:tr w:rsidR="00D405C3" w14:paraId="0D9A6D5E" w14:textId="77777777" w:rsidTr="00D405C3">
        <w:tc>
          <w:tcPr>
            <w:tcW w:w="1458" w:type="dxa"/>
            <w:tcBorders>
              <w:bottom w:val="single" w:sz="4" w:space="0" w:color="auto"/>
            </w:tcBorders>
            <w:vAlign w:val="center"/>
          </w:tcPr>
          <w:p w14:paraId="32705F9F" w14:textId="77777777" w:rsidR="00D405C3" w:rsidRDefault="00D405C3" w:rsidP="00D405C3">
            <w:pPr>
              <w:jc w:val="center"/>
            </w:pPr>
            <w:r>
              <w:t>PT</w:t>
            </w:r>
          </w:p>
        </w:tc>
        <w:tc>
          <w:tcPr>
            <w:tcW w:w="7398" w:type="dxa"/>
            <w:gridSpan w:val="3"/>
            <w:tcBorders>
              <w:bottom w:val="single" w:sz="4" w:space="0" w:color="auto"/>
            </w:tcBorders>
          </w:tcPr>
          <w:p w14:paraId="0DD709AA" w14:textId="448B432C" w:rsidR="00D405C3" w:rsidRDefault="006A0B66" w:rsidP="00D405C3">
            <w:pPr>
              <w:pStyle w:val="ListParagraph"/>
              <w:numPr>
                <w:ilvl w:val="0"/>
                <w:numId w:val="2"/>
              </w:numPr>
            </w:pPr>
            <w:r>
              <w:t>Cette tâche a été supprimée.</w:t>
            </w:r>
          </w:p>
        </w:tc>
      </w:tr>
    </w:tbl>
    <w:p w14:paraId="26AF095F" w14:textId="392EA1B8" w:rsidR="00F16CE5" w:rsidRDefault="00F16CE5"/>
    <w:p w14:paraId="4CFED0BB" w14:textId="77777777" w:rsidR="00F16CE5" w:rsidRDefault="00F16CE5">
      <w:r>
        <w:br w:type="page"/>
      </w:r>
    </w:p>
    <w:tbl>
      <w:tblPr>
        <w:tblStyle w:val="TableGrid"/>
        <w:tblW w:w="0" w:type="auto"/>
        <w:tblLayout w:type="fixed"/>
        <w:tblLook w:val="04A0" w:firstRow="1" w:lastRow="0" w:firstColumn="1" w:lastColumn="0" w:noHBand="0" w:noVBand="1"/>
      </w:tblPr>
      <w:tblGrid>
        <w:gridCol w:w="1458"/>
        <w:gridCol w:w="1080"/>
        <w:gridCol w:w="264"/>
        <w:gridCol w:w="6054"/>
      </w:tblGrid>
      <w:tr w:rsidR="00F16CE5" w14:paraId="4F797CAF" w14:textId="77777777" w:rsidTr="00F16CE5">
        <w:trPr>
          <w:trHeight w:val="864"/>
        </w:trPr>
        <w:tc>
          <w:tcPr>
            <w:tcW w:w="8856" w:type="dxa"/>
            <w:gridSpan w:val="4"/>
            <w:shd w:val="clear" w:color="auto" w:fill="C0C0C0"/>
            <w:vAlign w:val="center"/>
          </w:tcPr>
          <w:p w14:paraId="669A7B4F" w14:textId="72A99ED4" w:rsidR="00F16CE5" w:rsidRPr="00976D6F" w:rsidRDefault="00F16CE5" w:rsidP="00F16CE5">
            <w:pPr>
              <w:jc w:val="center"/>
              <w:rPr>
                <w:b/>
                <w:sz w:val="32"/>
                <w:szCs w:val="32"/>
              </w:rPr>
            </w:pPr>
            <w:r>
              <w:rPr>
                <w:b/>
                <w:sz w:val="32"/>
              </w:rPr>
              <w:lastRenderedPageBreak/>
              <w:t>FIABILITÉ ET STABILISATION DE L’ESSAI⁄CONTRE-ESSAI</w:t>
            </w:r>
          </w:p>
        </w:tc>
      </w:tr>
      <w:tr w:rsidR="00F16CE5" w14:paraId="629E59B1" w14:textId="77777777" w:rsidTr="00F16CE5">
        <w:tc>
          <w:tcPr>
            <w:tcW w:w="8856" w:type="dxa"/>
            <w:gridSpan w:val="4"/>
          </w:tcPr>
          <w:p w14:paraId="02B13080" w14:textId="77777777" w:rsidR="00F16CE5" w:rsidRPr="00976D6F" w:rsidRDefault="00F16CE5" w:rsidP="00F16CE5">
            <w:pPr>
              <w:rPr>
                <w:sz w:val="16"/>
                <w:szCs w:val="16"/>
              </w:rPr>
            </w:pPr>
          </w:p>
        </w:tc>
      </w:tr>
      <w:tr w:rsidR="00F16CE5" w14:paraId="1384E2BE" w14:textId="77777777" w:rsidTr="00F16CE5">
        <w:tc>
          <w:tcPr>
            <w:tcW w:w="2538" w:type="dxa"/>
            <w:gridSpan w:val="2"/>
            <w:tcBorders>
              <w:right w:val="nil"/>
            </w:tcBorders>
          </w:tcPr>
          <w:p w14:paraId="6FE3C82C" w14:textId="77777777" w:rsidR="00F16CE5" w:rsidRPr="00976D6F" w:rsidRDefault="00F16CE5" w:rsidP="00F16CE5">
            <w:pPr>
              <w:rPr>
                <w:b/>
              </w:rPr>
            </w:pPr>
            <w:r>
              <w:rPr>
                <w:b/>
              </w:rPr>
              <w:t>DATE</w:t>
            </w:r>
          </w:p>
        </w:tc>
        <w:tc>
          <w:tcPr>
            <w:tcW w:w="6318" w:type="dxa"/>
            <w:gridSpan w:val="2"/>
            <w:tcBorders>
              <w:left w:val="nil"/>
            </w:tcBorders>
          </w:tcPr>
          <w:p w14:paraId="10832DE8" w14:textId="312BB5E8" w:rsidR="00F16CE5" w:rsidRDefault="00F16CE5" w:rsidP="00F16CE5">
            <w:r>
              <w:t>Novembre 2014 – Février 2016</w:t>
            </w:r>
          </w:p>
        </w:tc>
      </w:tr>
      <w:tr w:rsidR="00F16CE5" w14:paraId="23FCF4F5" w14:textId="77777777" w:rsidTr="00F16CE5">
        <w:tc>
          <w:tcPr>
            <w:tcW w:w="8856" w:type="dxa"/>
            <w:gridSpan w:val="4"/>
          </w:tcPr>
          <w:p w14:paraId="6BFB551C" w14:textId="77777777" w:rsidR="00F16CE5" w:rsidRPr="00976D6F" w:rsidRDefault="00F16CE5" w:rsidP="00F16CE5">
            <w:pPr>
              <w:rPr>
                <w:b/>
                <w:sz w:val="16"/>
                <w:szCs w:val="16"/>
              </w:rPr>
            </w:pPr>
          </w:p>
        </w:tc>
      </w:tr>
      <w:tr w:rsidR="00F16CE5" w14:paraId="6CA0D40A" w14:textId="77777777" w:rsidTr="00F16CE5">
        <w:tc>
          <w:tcPr>
            <w:tcW w:w="2538" w:type="dxa"/>
            <w:gridSpan w:val="2"/>
            <w:tcBorders>
              <w:right w:val="nil"/>
            </w:tcBorders>
          </w:tcPr>
          <w:p w14:paraId="3A4E1021" w14:textId="77777777" w:rsidR="00F16CE5" w:rsidRPr="00976D6F" w:rsidRDefault="00F16CE5" w:rsidP="00F16CE5">
            <w:pPr>
              <w:rPr>
                <w:b/>
              </w:rPr>
            </w:pPr>
            <w:r>
              <w:rPr>
                <w:b/>
              </w:rPr>
              <w:t>VERSION DE L’OEEEP</w:t>
            </w:r>
          </w:p>
        </w:tc>
        <w:tc>
          <w:tcPr>
            <w:tcW w:w="6318" w:type="dxa"/>
            <w:gridSpan w:val="2"/>
            <w:tcBorders>
              <w:left w:val="nil"/>
            </w:tcBorders>
          </w:tcPr>
          <w:p w14:paraId="5FCD9382" w14:textId="41DED791" w:rsidR="00F16CE5" w:rsidRDefault="00F16CE5" w:rsidP="00F16CE5">
            <w:r>
              <w:t>5.0</w:t>
            </w:r>
          </w:p>
        </w:tc>
      </w:tr>
      <w:tr w:rsidR="00F16CE5" w14:paraId="48942062" w14:textId="77777777" w:rsidTr="00F16CE5">
        <w:tc>
          <w:tcPr>
            <w:tcW w:w="8856" w:type="dxa"/>
            <w:gridSpan w:val="4"/>
          </w:tcPr>
          <w:p w14:paraId="70F38076" w14:textId="77777777" w:rsidR="00F16CE5" w:rsidRPr="00976D6F" w:rsidRDefault="00F16CE5" w:rsidP="00F16CE5">
            <w:pPr>
              <w:rPr>
                <w:b/>
                <w:sz w:val="16"/>
                <w:szCs w:val="16"/>
              </w:rPr>
            </w:pPr>
          </w:p>
        </w:tc>
      </w:tr>
      <w:tr w:rsidR="00F16CE5" w14:paraId="11873941" w14:textId="77777777" w:rsidTr="003D0295">
        <w:tc>
          <w:tcPr>
            <w:tcW w:w="2802" w:type="dxa"/>
            <w:gridSpan w:val="3"/>
            <w:tcBorders>
              <w:right w:val="nil"/>
            </w:tcBorders>
          </w:tcPr>
          <w:p w14:paraId="75AB30A1" w14:textId="70D5D863" w:rsidR="00F16CE5" w:rsidRPr="00976D6F" w:rsidRDefault="001B7D37" w:rsidP="00F16CE5">
            <w:pPr>
              <w:rPr>
                <w:b/>
              </w:rPr>
            </w:pPr>
            <w:hyperlink r:id="rId13">
              <w:r w:rsidR="0055453C">
                <w:rPr>
                  <w:rStyle w:val="Hyperlink"/>
                  <w:b/>
                </w:rPr>
                <w:t>RAPPORT FINAL</w:t>
              </w:r>
            </w:hyperlink>
            <w:r w:rsidR="0055453C">
              <w:rPr>
                <w:b/>
              </w:rPr>
              <w:t xml:space="preserve"> DATE</w:t>
            </w:r>
          </w:p>
        </w:tc>
        <w:tc>
          <w:tcPr>
            <w:tcW w:w="6054" w:type="dxa"/>
            <w:tcBorders>
              <w:left w:val="nil"/>
            </w:tcBorders>
          </w:tcPr>
          <w:p w14:paraId="4375994F" w14:textId="70DAD8FF" w:rsidR="00F16CE5" w:rsidRDefault="00F16CE5" w:rsidP="00F16CE5">
            <w:r>
              <w:t>29 février 2016</w:t>
            </w:r>
          </w:p>
        </w:tc>
      </w:tr>
      <w:tr w:rsidR="00F16CE5" w14:paraId="663B3228" w14:textId="77777777" w:rsidTr="00F16CE5">
        <w:tc>
          <w:tcPr>
            <w:tcW w:w="8856" w:type="dxa"/>
            <w:gridSpan w:val="4"/>
          </w:tcPr>
          <w:p w14:paraId="0BAC2605" w14:textId="77777777" w:rsidR="00F16CE5" w:rsidRPr="00976D6F" w:rsidRDefault="00F16CE5" w:rsidP="00F16CE5">
            <w:pPr>
              <w:rPr>
                <w:sz w:val="16"/>
                <w:szCs w:val="16"/>
              </w:rPr>
            </w:pPr>
          </w:p>
        </w:tc>
      </w:tr>
      <w:tr w:rsidR="00F16CE5" w14:paraId="5AF1D11B" w14:textId="77777777" w:rsidTr="00F16CE5">
        <w:tc>
          <w:tcPr>
            <w:tcW w:w="1458" w:type="dxa"/>
            <w:tcBorders>
              <w:bottom w:val="nil"/>
              <w:right w:val="nil"/>
            </w:tcBorders>
          </w:tcPr>
          <w:p w14:paraId="0800060C" w14:textId="77777777" w:rsidR="00F16CE5" w:rsidRPr="00976D6F" w:rsidRDefault="00F16CE5" w:rsidP="00F16CE5">
            <w:pPr>
              <w:rPr>
                <w:b/>
              </w:rPr>
            </w:pPr>
            <w:r>
              <w:rPr>
                <w:b/>
              </w:rPr>
              <w:t>RÉSUMÉ</w:t>
            </w:r>
          </w:p>
        </w:tc>
        <w:tc>
          <w:tcPr>
            <w:tcW w:w="7398" w:type="dxa"/>
            <w:gridSpan w:val="3"/>
            <w:tcBorders>
              <w:left w:val="nil"/>
              <w:bottom w:val="nil"/>
            </w:tcBorders>
          </w:tcPr>
          <w:p w14:paraId="03F4A1DA" w14:textId="2E070A41" w:rsidR="00F16CE5" w:rsidRDefault="00F16CE5" w:rsidP="003D0295">
            <w:r>
              <w:t xml:space="preserve">Étudié la fiabilité de l’essai⁄contre-essai des tests NC intégrés dans </w:t>
            </w:r>
          </w:p>
        </w:tc>
      </w:tr>
      <w:tr w:rsidR="00F16CE5" w14:paraId="5173B056" w14:textId="77777777" w:rsidTr="00F16CE5">
        <w:tc>
          <w:tcPr>
            <w:tcW w:w="8856" w:type="dxa"/>
            <w:gridSpan w:val="4"/>
            <w:tcBorders>
              <w:top w:val="nil"/>
            </w:tcBorders>
            <w:shd w:val="clear" w:color="auto" w:fill="auto"/>
          </w:tcPr>
          <w:p w14:paraId="09EFD965" w14:textId="7902EDB0" w:rsidR="00F16CE5" w:rsidRDefault="003D0295" w:rsidP="003D0295">
            <w:r>
              <w:t xml:space="preserve">l’OEEEP </w:t>
            </w:r>
            <w:r w:rsidR="00F16CE5">
              <w:t>à 1 semaine d’intervalle, puis à 4 semaines, et comparé cette fiabilité à celle de deux outils d’évaluation NC établis (DANA et WinSCAT). De plus, ce travail de validation tent</w:t>
            </w:r>
            <w:r>
              <w:t>ait</w:t>
            </w:r>
            <w:r w:rsidR="00F16CE5">
              <w:t xml:space="preserve"> d’établir combien d’exécutions de l’OEEEP étaient nécessaires avant de parvenir à une base de référence stable</w:t>
            </w:r>
            <w:r>
              <w:t xml:space="preserve"> et de</w:t>
            </w:r>
            <w:r w:rsidR="00F16CE5">
              <w:t xml:space="preserve"> compar</w:t>
            </w:r>
            <w:r>
              <w:t>er</w:t>
            </w:r>
            <w:r w:rsidR="00F16CE5">
              <w:t xml:space="preserve"> ce taux d’acquisition à celui de l’évaluation DANA et de</w:t>
            </w:r>
            <w:r>
              <w:t xml:space="preserve"> l’outil WinSCAT. À cette fin, </w:t>
            </w:r>
            <w:r w:rsidR="00F16CE5">
              <w:t>40 participants</w:t>
            </w:r>
            <w:r>
              <w:t xml:space="preserve"> ont été testés</w:t>
            </w:r>
            <w:r w:rsidR="00F16CE5">
              <w:t xml:space="preserve"> au cours de 10 séances de tests sur une période de 6 semaines. Les résultats ont montré que l’OEEEP était comparable à l’évaluation DANA et à l’outil WinSCAT au niveau de sa fiabilité à 1 semaine d’intervalle, à la condition que trois tâches </w:t>
            </w:r>
            <w:r>
              <w:t>O</w:t>
            </w:r>
            <w:r w:rsidR="00F16CE5">
              <w:t xml:space="preserve">EEEP soient supprimées. En outre, l’OEEEP était comparable à l’évaluation DANA au niveau de la fiabilité de l’essai⁄contre-essai à 4 semaines d’intervalle, à la condition que l’une des sous-tâches </w:t>
            </w:r>
            <w:r>
              <w:t>O</w:t>
            </w:r>
            <w:r w:rsidR="00F16CE5">
              <w:t xml:space="preserve">EEEP soit supprimée. Le WinSCAT a obtenu une meilleure note que l’OEEEP et DANA pour la fiabilité de l’essai⁄contre-essai à 4 semaines d’intervalle. Les taux d’acquisition des sous-tâches </w:t>
            </w:r>
            <w:r>
              <w:t>O</w:t>
            </w:r>
            <w:r w:rsidR="00F16CE5">
              <w:t xml:space="preserve">EEEP se sont avérés semblables à ceux de l’évaluation DANA et de l’outil WinSCAT, en parvenant à une stabilité au cours des six séances de tests pour toutes les sous-tâches </w:t>
            </w:r>
            <w:r>
              <w:t>O</w:t>
            </w:r>
            <w:r w:rsidR="00F16CE5">
              <w:t xml:space="preserve">EEEP, sauf une. En conclusion, ces résultats de validation corroborent la validation de principe de l’OEEEP en ce qui concerne la faisabilité de l’intégration de tests NC dans le cadre d’un exercice basé sur des simulations. En outre, il convient de noter que d’autres travaux de validation sont nécessaires (par ex., étudier la sensibilité de l’OEEEP aux changements cognitifs) avant que l’OEEEP ne puisse être adopté comme une alternative aux outils cliniques établis en matière de suivi de l’état des astronautes.  </w:t>
            </w:r>
          </w:p>
        </w:tc>
      </w:tr>
      <w:tr w:rsidR="007E58F1" w14:paraId="115F2D23" w14:textId="77777777" w:rsidTr="00F16CE5">
        <w:tc>
          <w:tcPr>
            <w:tcW w:w="8856" w:type="dxa"/>
            <w:gridSpan w:val="4"/>
            <w:tcBorders>
              <w:top w:val="nil"/>
            </w:tcBorders>
            <w:shd w:val="clear" w:color="auto" w:fill="auto"/>
          </w:tcPr>
          <w:p w14:paraId="543F0993" w14:textId="77777777" w:rsidR="007E58F1" w:rsidRPr="007E58F1" w:rsidRDefault="007E58F1" w:rsidP="00674007">
            <w:pPr>
              <w:rPr>
                <w:sz w:val="16"/>
                <w:szCs w:val="16"/>
              </w:rPr>
            </w:pPr>
          </w:p>
        </w:tc>
      </w:tr>
      <w:tr w:rsidR="007E58F1" w14:paraId="1F703D78" w14:textId="77777777" w:rsidTr="00F16CE5">
        <w:tc>
          <w:tcPr>
            <w:tcW w:w="8856" w:type="dxa"/>
            <w:gridSpan w:val="4"/>
            <w:tcBorders>
              <w:top w:val="nil"/>
            </w:tcBorders>
            <w:shd w:val="clear" w:color="auto" w:fill="auto"/>
          </w:tcPr>
          <w:p w14:paraId="1855677F" w14:textId="32400264" w:rsidR="007E58F1" w:rsidRPr="007E58F1" w:rsidRDefault="001B7D37" w:rsidP="00674007">
            <w:pPr>
              <w:rPr>
                <w:b/>
              </w:rPr>
            </w:pPr>
            <w:hyperlink r:id="rId14">
              <w:r w:rsidR="0055453C">
                <w:rPr>
                  <w:rStyle w:val="Hyperlink"/>
                  <w:b/>
                </w:rPr>
                <w:t>FICHIERS DES ANALYSES</w:t>
              </w:r>
            </w:hyperlink>
          </w:p>
        </w:tc>
      </w:tr>
      <w:tr w:rsidR="00F16CE5" w14:paraId="74143B17" w14:textId="77777777" w:rsidTr="00E61FC7">
        <w:tc>
          <w:tcPr>
            <w:tcW w:w="8856" w:type="dxa"/>
            <w:gridSpan w:val="4"/>
            <w:tcBorders>
              <w:bottom w:val="single" w:sz="4" w:space="0" w:color="auto"/>
            </w:tcBorders>
          </w:tcPr>
          <w:p w14:paraId="5E40B95E" w14:textId="77777777" w:rsidR="00F16CE5" w:rsidRPr="00F9149D" w:rsidRDefault="00F16CE5" w:rsidP="00F16CE5">
            <w:pPr>
              <w:rPr>
                <w:sz w:val="16"/>
                <w:szCs w:val="16"/>
              </w:rPr>
            </w:pPr>
          </w:p>
        </w:tc>
      </w:tr>
      <w:tr w:rsidR="00F16CE5" w14:paraId="75DB6656" w14:textId="77777777" w:rsidTr="00F16CE5">
        <w:tc>
          <w:tcPr>
            <w:tcW w:w="8856" w:type="dxa"/>
            <w:gridSpan w:val="4"/>
            <w:tcBorders>
              <w:bottom w:val="nil"/>
            </w:tcBorders>
          </w:tcPr>
          <w:p w14:paraId="472BC96E" w14:textId="7089CB78" w:rsidR="00E61FC7" w:rsidRPr="00E61FC7" w:rsidRDefault="00F16CE5" w:rsidP="00F16CE5">
            <w:pPr>
              <w:rPr>
                <w:b/>
              </w:rPr>
            </w:pPr>
            <w:r>
              <w:rPr>
                <w:b/>
              </w:rPr>
              <w:t>MODIFICATIONS APPORTÉES AU LOGICIEL AVANT LES ESSAIS</w:t>
            </w:r>
          </w:p>
        </w:tc>
      </w:tr>
      <w:tr w:rsidR="00F16CE5" w14:paraId="02715C40" w14:textId="77777777" w:rsidTr="00E61FC7">
        <w:tc>
          <w:tcPr>
            <w:tcW w:w="1458" w:type="dxa"/>
            <w:tcBorders>
              <w:top w:val="nil"/>
            </w:tcBorders>
            <w:vAlign w:val="center"/>
          </w:tcPr>
          <w:p w14:paraId="0EA5AFEC" w14:textId="77777777" w:rsidR="00F16CE5" w:rsidRDefault="00F16CE5" w:rsidP="00F16CE5">
            <w:pPr>
              <w:jc w:val="center"/>
            </w:pPr>
            <w:r>
              <w:t>LNSAT</w:t>
            </w:r>
          </w:p>
        </w:tc>
        <w:tc>
          <w:tcPr>
            <w:tcW w:w="7398" w:type="dxa"/>
            <w:gridSpan w:val="3"/>
            <w:tcBorders>
              <w:top w:val="nil"/>
            </w:tcBorders>
          </w:tcPr>
          <w:p w14:paraId="055AAB7C" w14:textId="2B4BBEE4" w:rsidR="00F16CE5" w:rsidRDefault="00674007" w:rsidP="00F16CE5">
            <w:pPr>
              <w:pStyle w:val="ListParagraph"/>
              <w:numPr>
                <w:ilvl w:val="0"/>
                <w:numId w:val="2"/>
              </w:numPr>
            </w:pPr>
            <w:r>
              <w:t>Augmenté la fréquence de présentation de lettres / chiffres de 1 lettre / chiffre toutes les 3 secondes à 1 lettre / chiffre toutes les secondes.</w:t>
            </w:r>
          </w:p>
        </w:tc>
      </w:tr>
      <w:tr w:rsidR="00F16CE5" w14:paraId="486BB94E" w14:textId="77777777" w:rsidTr="00F16CE5">
        <w:tc>
          <w:tcPr>
            <w:tcW w:w="1458" w:type="dxa"/>
            <w:vAlign w:val="center"/>
          </w:tcPr>
          <w:p w14:paraId="57BEF0F6" w14:textId="77777777" w:rsidR="00F16CE5" w:rsidRDefault="00F16CE5" w:rsidP="00F16CE5">
            <w:pPr>
              <w:jc w:val="center"/>
            </w:pPr>
            <w:r>
              <w:t>SCT</w:t>
            </w:r>
          </w:p>
        </w:tc>
        <w:tc>
          <w:tcPr>
            <w:tcW w:w="7398" w:type="dxa"/>
            <w:gridSpan w:val="3"/>
          </w:tcPr>
          <w:p w14:paraId="532EE09D" w14:textId="233F6E44" w:rsidR="00F16CE5" w:rsidRDefault="00E61FC7" w:rsidP="00F16CE5">
            <w:pPr>
              <w:pStyle w:val="ListParagraph"/>
              <w:numPr>
                <w:ilvl w:val="0"/>
                <w:numId w:val="2"/>
              </w:numPr>
            </w:pPr>
            <w:r>
              <w:t>Accru la durée du SCT à 3 minutes.</w:t>
            </w:r>
          </w:p>
        </w:tc>
      </w:tr>
    </w:tbl>
    <w:p w14:paraId="5AEFB639" w14:textId="77777777" w:rsidR="00D812B9" w:rsidRDefault="00D812B9"/>
    <w:p w14:paraId="047699AB" w14:textId="77777777" w:rsidR="00D608C9" w:rsidRDefault="00D608C9"/>
    <w:sectPr w:rsidR="00D608C9" w:rsidSect="00D812B9">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F727F" w14:textId="77777777" w:rsidR="007F26C5" w:rsidRDefault="007F26C5" w:rsidP="005B0E66">
      <w:r>
        <w:separator/>
      </w:r>
    </w:p>
  </w:endnote>
  <w:endnote w:type="continuationSeparator" w:id="0">
    <w:p w14:paraId="224C39AC" w14:textId="77777777" w:rsidR="007F26C5" w:rsidRDefault="007F26C5" w:rsidP="005B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35D" w14:textId="77777777" w:rsidR="005B0E66" w:rsidRDefault="005B0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F3AE4" w14:textId="77777777" w:rsidR="005B0E66" w:rsidRDefault="005B0E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52D7A" w14:textId="77777777" w:rsidR="005B0E66" w:rsidRDefault="005B0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25487" w14:textId="77777777" w:rsidR="007F26C5" w:rsidRDefault="007F26C5" w:rsidP="005B0E66">
      <w:r>
        <w:separator/>
      </w:r>
    </w:p>
  </w:footnote>
  <w:footnote w:type="continuationSeparator" w:id="0">
    <w:p w14:paraId="1B0D94CF" w14:textId="77777777" w:rsidR="007F26C5" w:rsidRDefault="007F26C5" w:rsidP="005B0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1EC1A" w14:textId="77777777" w:rsidR="005B0E66" w:rsidRDefault="005B0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6C0F7" w14:textId="77777777" w:rsidR="005B0E66" w:rsidRDefault="005B0E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54025" w14:textId="77777777" w:rsidR="005B0E66" w:rsidRDefault="005B0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52E8E"/>
    <w:multiLevelType w:val="hybridMultilevel"/>
    <w:tmpl w:val="8C94A50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522" w:hanging="360"/>
      </w:pPr>
      <w:rPr>
        <w:rFonts w:ascii="Courier New" w:hAnsi="Courier New" w:hint="default"/>
      </w:rPr>
    </w:lvl>
    <w:lvl w:ilvl="2" w:tplc="04090005" w:tentative="1">
      <w:start w:val="1"/>
      <w:numFmt w:val="bullet"/>
      <w:lvlText w:val=""/>
      <w:lvlJc w:val="left"/>
      <w:pPr>
        <w:ind w:left="1242" w:hanging="360"/>
      </w:pPr>
      <w:rPr>
        <w:rFonts w:ascii="Wingdings" w:hAnsi="Wingdings" w:hint="default"/>
      </w:rPr>
    </w:lvl>
    <w:lvl w:ilvl="3" w:tplc="04090001" w:tentative="1">
      <w:start w:val="1"/>
      <w:numFmt w:val="bullet"/>
      <w:lvlText w:val=""/>
      <w:lvlJc w:val="left"/>
      <w:pPr>
        <w:ind w:left="1962" w:hanging="360"/>
      </w:pPr>
      <w:rPr>
        <w:rFonts w:ascii="Symbol" w:hAnsi="Symbol" w:hint="default"/>
      </w:rPr>
    </w:lvl>
    <w:lvl w:ilvl="4" w:tplc="04090003" w:tentative="1">
      <w:start w:val="1"/>
      <w:numFmt w:val="bullet"/>
      <w:lvlText w:val="o"/>
      <w:lvlJc w:val="left"/>
      <w:pPr>
        <w:ind w:left="2682" w:hanging="360"/>
      </w:pPr>
      <w:rPr>
        <w:rFonts w:ascii="Courier New" w:hAnsi="Courier New" w:hint="default"/>
      </w:rPr>
    </w:lvl>
    <w:lvl w:ilvl="5" w:tplc="04090005" w:tentative="1">
      <w:start w:val="1"/>
      <w:numFmt w:val="bullet"/>
      <w:lvlText w:val=""/>
      <w:lvlJc w:val="left"/>
      <w:pPr>
        <w:ind w:left="3402" w:hanging="360"/>
      </w:pPr>
      <w:rPr>
        <w:rFonts w:ascii="Wingdings" w:hAnsi="Wingdings" w:hint="default"/>
      </w:rPr>
    </w:lvl>
    <w:lvl w:ilvl="6" w:tplc="04090001" w:tentative="1">
      <w:start w:val="1"/>
      <w:numFmt w:val="bullet"/>
      <w:lvlText w:val=""/>
      <w:lvlJc w:val="left"/>
      <w:pPr>
        <w:ind w:left="4122" w:hanging="360"/>
      </w:pPr>
      <w:rPr>
        <w:rFonts w:ascii="Symbol" w:hAnsi="Symbol" w:hint="default"/>
      </w:rPr>
    </w:lvl>
    <w:lvl w:ilvl="7" w:tplc="04090003" w:tentative="1">
      <w:start w:val="1"/>
      <w:numFmt w:val="bullet"/>
      <w:lvlText w:val="o"/>
      <w:lvlJc w:val="left"/>
      <w:pPr>
        <w:ind w:left="4842" w:hanging="360"/>
      </w:pPr>
      <w:rPr>
        <w:rFonts w:ascii="Courier New" w:hAnsi="Courier New" w:hint="default"/>
      </w:rPr>
    </w:lvl>
    <w:lvl w:ilvl="8" w:tplc="04090005" w:tentative="1">
      <w:start w:val="1"/>
      <w:numFmt w:val="bullet"/>
      <w:lvlText w:val=""/>
      <w:lvlJc w:val="left"/>
      <w:pPr>
        <w:ind w:left="5562" w:hanging="360"/>
      </w:pPr>
      <w:rPr>
        <w:rFonts w:ascii="Wingdings" w:hAnsi="Wingdings" w:hint="default"/>
      </w:rPr>
    </w:lvl>
  </w:abstractNum>
  <w:abstractNum w:abstractNumId="1">
    <w:nsid w:val="5F226D43"/>
    <w:multiLevelType w:val="hybridMultilevel"/>
    <w:tmpl w:val="D4904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6F"/>
    <w:rsid w:val="000B66E0"/>
    <w:rsid w:val="000E0011"/>
    <w:rsid w:val="000F039C"/>
    <w:rsid w:val="00102E3B"/>
    <w:rsid w:val="00103522"/>
    <w:rsid w:val="0011157E"/>
    <w:rsid w:val="001220C9"/>
    <w:rsid w:val="001254E4"/>
    <w:rsid w:val="001B61F5"/>
    <w:rsid w:val="001B7D37"/>
    <w:rsid w:val="002A165B"/>
    <w:rsid w:val="002F659F"/>
    <w:rsid w:val="003C07C4"/>
    <w:rsid w:val="003D0295"/>
    <w:rsid w:val="004417E4"/>
    <w:rsid w:val="004750B5"/>
    <w:rsid w:val="0047771B"/>
    <w:rsid w:val="0055453C"/>
    <w:rsid w:val="005B0E66"/>
    <w:rsid w:val="005F7692"/>
    <w:rsid w:val="00674007"/>
    <w:rsid w:val="006A0B66"/>
    <w:rsid w:val="006D523D"/>
    <w:rsid w:val="00756A24"/>
    <w:rsid w:val="007E58F1"/>
    <w:rsid w:val="007F26C5"/>
    <w:rsid w:val="0090124F"/>
    <w:rsid w:val="00905B80"/>
    <w:rsid w:val="00953AED"/>
    <w:rsid w:val="00976D6F"/>
    <w:rsid w:val="0099238F"/>
    <w:rsid w:val="0099371D"/>
    <w:rsid w:val="009A6D60"/>
    <w:rsid w:val="00A3053E"/>
    <w:rsid w:val="00A42E44"/>
    <w:rsid w:val="00A55EAF"/>
    <w:rsid w:val="00B03E06"/>
    <w:rsid w:val="00BC0D7A"/>
    <w:rsid w:val="00BF2BBC"/>
    <w:rsid w:val="00C17F9E"/>
    <w:rsid w:val="00C85BE8"/>
    <w:rsid w:val="00CF6CED"/>
    <w:rsid w:val="00D405C3"/>
    <w:rsid w:val="00D608C9"/>
    <w:rsid w:val="00D812B9"/>
    <w:rsid w:val="00D940CD"/>
    <w:rsid w:val="00DB5046"/>
    <w:rsid w:val="00E401A0"/>
    <w:rsid w:val="00E61FC7"/>
    <w:rsid w:val="00E70833"/>
    <w:rsid w:val="00E73843"/>
    <w:rsid w:val="00EB5F58"/>
    <w:rsid w:val="00F16CE5"/>
    <w:rsid w:val="00F239CE"/>
    <w:rsid w:val="00F2594C"/>
    <w:rsid w:val="00F468CC"/>
    <w:rsid w:val="00F9149D"/>
    <w:rsid w:val="00F962B0"/>
    <w:rsid w:val="00FC0173"/>
    <w:rsid w:val="00FC0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9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9CE"/>
    <w:pPr>
      <w:ind w:left="720"/>
      <w:contextualSpacing/>
    </w:pPr>
  </w:style>
  <w:style w:type="character" w:styleId="Hyperlink">
    <w:name w:val="Hyperlink"/>
    <w:basedOn w:val="DefaultParagraphFont"/>
    <w:uiPriority w:val="99"/>
    <w:unhideWhenUsed/>
    <w:rsid w:val="00756A24"/>
    <w:rPr>
      <w:color w:val="0000FF" w:themeColor="hyperlink"/>
      <w:u w:val="single"/>
    </w:rPr>
  </w:style>
  <w:style w:type="character" w:styleId="FollowedHyperlink">
    <w:name w:val="FollowedHyperlink"/>
    <w:basedOn w:val="DefaultParagraphFont"/>
    <w:uiPriority w:val="99"/>
    <w:semiHidden/>
    <w:unhideWhenUsed/>
    <w:rsid w:val="00756A24"/>
    <w:rPr>
      <w:color w:val="800080" w:themeColor="followedHyperlink"/>
      <w:u w:val="single"/>
    </w:rPr>
  </w:style>
  <w:style w:type="paragraph" w:styleId="Header">
    <w:name w:val="header"/>
    <w:basedOn w:val="Normal"/>
    <w:link w:val="HeaderChar"/>
    <w:uiPriority w:val="99"/>
    <w:unhideWhenUsed/>
    <w:rsid w:val="005B0E66"/>
    <w:pPr>
      <w:tabs>
        <w:tab w:val="center" w:pos="4680"/>
        <w:tab w:val="right" w:pos="9360"/>
      </w:tabs>
    </w:pPr>
  </w:style>
  <w:style w:type="character" w:customStyle="1" w:styleId="HeaderChar">
    <w:name w:val="Header Char"/>
    <w:basedOn w:val="DefaultParagraphFont"/>
    <w:link w:val="Header"/>
    <w:uiPriority w:val="99"/>
    <w:rsid w:val="005B0E66"/>
  </w:style>
  <w:style w:type="paragraph" w:styleId="Footer">
    <w:name w:val="footer"/>
    <w:basedOn w:val="Normal"/>
    <w:link w:val="FooterChar"/>
    <w:uiPriority w:val="99"/>
    <w:unhideWhenUsed/>
    <w:rsid w:val="005B0E66"/>
    <w:pPr>
      <w:tabs>
        <w:tab w:val="center" w:pos="4680"/>
        <w:tab w:val="right" w:pos="9360"/>
      </w:tabs>
    </w:pPr>
  </w:style>
  <w:style w:type="character" w:customStyle="1" w:styleId="FooterChar">
    <w:name w:val="Footer Char"/>
    <w:basedOn w:val="DefaultParagraphFont"/>
    <w:link w:val="Footer"/>
    <w:uiPriority w:val="99"/>
    <w:rsid w:val="005B0E66"/>
  </w:style>
  <w:style w:type="paragraph" w:styleId="BalloonText">
    <w:name w:val="Balloon Text"/>
    <w:basedOn w:val="Normal"/>
    <w:link w:val="BalloonTextChar"/>
    <w:uiPriority w:val="99"/>
    <w:semiHidden/>
    <w:unhideWhenUsed/>
    <w:rsid w:val="002A165B"/>
    <w:rPr>
      <w:rFonts w:ascii="Tahoma" w:hAnsi="Tahoma" w:cs="Tahoma"/>
      <w:sz w:val="16"/>
      <w:szCs w:val="16"/>
    </w:rPr>
  </w:style>
  <w:style w:type="character" w:customStyle="1" w:styleId="BalloonTextChar">
    <w:name w:val="Balloon Text Char"/>
    <w:basedOn w:val="DefaultParagraphFont"/>
    <w:link w:val="BalloonText"/>
    <w:uiPriority w:val="99"/>
    <w:semiHidden/>
    <w:rsid w:val="002A165B"/>
    <w:rPr>
      <w:rFonts w:ascii="Tahoma" w:hAnsi="Tahoma" w:cs="Tahoma"/>
      <w:sz w:val="16"/>
      <w:szCs w:val="16"/>
    </w:rPr>
  </w:style>
  <w:style w:type="character" w:styleId="CommentReference">
    <w:name w:val="annotation reference"/>
    <w:basedOn w:val="DefaultParagraphFont"/>
    <w:uiPriority w:val="99"/>
    <w:semiHidden/>
    <w:unhideWhenUsed/>
    <w:rsid w:val="002A165B"/>
    <w:rPr>
      <w:sz w:val="16"/>
      <w:szCs w:val="16"/>
    </w:rPr>
  </w:style>
  <w:style w:type="paragraph" w:styleId="CommentText">
    <w:name w:val="annotation text"/>
    <w:basedOn w:val="Normal"/>
    <w:link w:val="CommentTextChar"/>
    <w:uiPriority w:val="99"/>
    <w:semiHidden/>
    <w:unhideWhenUsed/>
    <w:rsid w:val="002A165B"/>
    <w:rPr>
      <w:sz w:val="20"/>
      <w:szCs w:val="20"/>
    </w:rPr>
  </w:style>
  <w:style w:type="character" w:customStyle="1" w:styleId="CommentTextChar">
    <w:name w:val="Comment Text Char"/>
    <w:basedOn w:val="DefaultParagraphFont"/>
    <w:link w:val="CommentText"/>
    <w:uiPriority w:val="99"/>
    <w:semiHidden/>
    <w:rsid w:val="002A165B"/>
    <w:rPr>
      <w:sz w:val="20"/>
      <w:szCs w:val="20"/>
    </w:rPr>
  </w:style>
  <w:style w:type="paragraph" w:styleId="CommentSubject">
    <w:name w:val="annotation subject"/>
    <w:basedOn w:val="CommentText"/>
    <w:next w:val="CommentText"/>
    <w:link w:val="CommentSubjectChar"/>
    <w:uiPriority w:val="99"/>
    <w:semiHidden/>
    <w:unhideWhenUsed/>
    <w:rsid w:val="002A165B"/>
    <w:rPr>
      <w:b/>
      <w:bCs/>
    </w:rPr>
  </w:style>
  <w:style w:type="character" w:customStyle="1" w:styleId="CommentSubjectChar">
    <w:name w:val="Comment Subject Char"/>
    <w:basedOn w:val="CommentTextChar"/>
    <w:link w:val="CommentSubject"/>
    <w:uiPriority w:val="99"/>
    <w:semiHidden/>
    <w:rsid w:val="002A16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9CE"/>
    <w:pPr>
      <w:ind w:left="720"/>
      <w:contextualSpacing/>
    </w:pPr>
  </w:style>
  <w:style w:type="character" w:styleId="Hyperlink">
    <w:name w:val="Hyperlink"/>
    <w:basedOn w:val="DefaultParagraphFont"/>
    <w:uiPriority w:val="99"/>
    <w:unhideWhenUsed/>
    <w:rsid w:val="00756A24"/>
    <w:rPr>
      <w:color w:val="0000FF" w:themeColor="hyperlink"/>
      <w:u w:val="single"/>
    </w:rPr>
  </w:style>
  <w:style w:type="character" w:styleId="FollowedHyperlink">
    <w:name w:val="FollowedHyperlink"/>
    <w:basedOn w:val="DefaultParagraphFont"/>
    <w:uiPriority w:val="99"/>
    <w:semiHidden/>
    <w:unhideWhenUsed/>
    <w:rsid w:val="00756A24"/>
    <w:rPr>
      <w:color w:val="800080" w:themeColor="followedHyperlink"/>
      <w:u w:val="single"/>
    </w:rPr>
  </w:style>
  <w:style w:type="paragraph" w:styleId="Header">
    <w:name w:val="header"/>
    <w:basedOn w:val="Normal"/>
    <w:link w:val="HeaderChar"/>
    <w:uiPriority w:val="99"/>
    <w:unhideWhenUsed/>
    <w:rsid w:val="005B0E66"/>
    <w:pPr>
      <w:tabs>
        <w:tab w:val="center" w:pos="4680"/>
        <w:tab w:val="right" w:pos="9360"/>
      </w:tabs>
    </w:pPr>
  </w:style>
  <w:style w:type="character" w:customStyle="1" w:styleId="HeaderChar">
    <w:name w:val="Header Char"/>
    <w:basedOn w:val="DefaultParagraphFont"/>
    <w:link w:val="Header"/>
    <w:uiPriority w:val="99"/>
    <w:rsid w:val="005B0E66"/>
  </w:style>
  <w:style w:type="paragraph" w:styleId="Footer">
    <w:name w:val="footer"/>
    <w:basedOn w:val="Normal"/>
    <w:link w:val="FooterChar"/>
    <w:uiPriority w:val="99"/>
    <w:unhideWhenUsed/>
    <w:rsid w:val="005B0E66"/>
    <w:pPr>
      <w:tabs>
        <w:tab w:val="center" w:pos="4680"/>
        <w:tab w:val="right" w:pos="9360"/>
      </w:tabs>
    </w:pPr>
  </w:style>
  <w:style w:type="character" w:customStyle="1" w:styleId="FooterChar">
    <w:name w:val="Footer Char"/>
    <w:basedOn w:val="DefaultParagraphFont"/>
    <w:link w:val="Footer"/>
    <w:uiPriority w:val="99"/>
    <w:rsid w:val="005B0E66"/>
  </w:style>
  <w:style w:type="paragraph" w:styleId="BalloonText">
    <w:name w:val="Balloon Text"/>
    <w:basedOn w:val="Normal"/>
    <w:link w:val="BalloonTextChar"/>
    <w:uiPriority w:val="99"/>
    <w:semiHidden/>
    <w:unhideWhenUsed/>
    <w:rsid w:val="002A165B"/>
    <w:rPr>
      <w:rFonts w:ascii="Tahoma" w:hAnsi="Tahoma" w:cs="Tahoma"/>
      <w:sz w:val="16"/>
      <w:szCs w:val="16"/>
    </w:rPr>
  </w:style>
  <w:style w:type="character" w:customStyle="1" w:styleId="BalloonTextChar">
    <w:name w:val="Balloon Text Char"/>
    <w:basedOn w:val="DefaultParagraphFont"/>
    <w:link w:val="BalloonText"/>
    <w:uiPriority w:val="99"/>
    <w:semiHidden/>
    <w:rsid w:val="002A165B"/>
    <w:rPr>
      <w:rFonts w:ascii="Tahoma" w:hAnsi="Tahoma" w:cs="Tahoma"/>
      <w:sz w:val="16"/>
      <w:szCs w:val="16"/>
    </w:rPr>
  </w:style>
  <w:style w:type="character" w:styleId="CommentReference">
    <w:name w:val="annotation reference"/>
    <w:basedOn w:val="DefaultParagraphFont"/>
    <w:uiPriority w:val="99"/>
    <w:semiHidden/>
    <w:unhideWhenUsed/>
    <w:rsid w:val="002A165B"/>
    <w:rPr>
      <w:sz w:val="16"/>
      <w:szCs w:val="16"/>
    </w:rPr>
  </w:style>
  <w:style w:type="paragraph" w:styleId="CommentText">
    <w:name w:val="annotation text"/>
    <w:basedOn w:val="Normal"/>
    <w:link w:val="CommentTextChar"/>
    <w:uiPriority w:val="99"/>
    <w:semiHidden/>
    <w:unhideWhenUsed/>
    <w:rsid w:val="002A165B"/>
    <w:rPr>
      <w:sz w:val="20"/>
      <w:szCs w:val="20"/>
    </w:rPr>
  </w:style>
  <w:style w:type="character" w:customStyle="1" w:styleId="CommentTextChar">
    <w:name w:val="Comment Text Char"/>
    <w:basedOn w:val="DefaultParagraphFont"/>
    <w:link w:val="CommentText"/>
    <w:uiPriority w:val="99"/>
    <w:semiHidden/>
    <w:rsid w:val="002A165B"/>
    <w:rPr>
      <w:sz w:val="20"/>
      <w:szCs w:val="20"/>
    </w:rPr>
  </w:style>
  <w:style w:type="paragraph" w:styleId="CommentSubject">
    <w:name w:val="annotation subject"/>
    <w:basedOn w:val="CommentText"/>
    <w:next w:val="CommentText"/>
    <w:link w:val="CommentSubjectChar"/>
    <w:uiPriority w:val="99"/>
    <w:semiHidden/>
    <w:unhideWhenUsed/>
    <w:rsid w:val="002A165B"/>
    <w:rPr>
      <w:b/>
      <w:bCs/>
    </w:rPr>
  </w:style>
  <w:style w:type="character" w:customStyle="1" w:styleId="CommentSubjectChar">
    <w:name w:val="Comment Subject Char"/>
    <w:basedOn w:val="CommentTextChar"/>
    <w:link w:val="CommentSubject"/>
    <w:uiPriority w:val="99"/>
    <w:semiHidden/>
    <w:rsid w:val="002A16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ET%20Open%20Gov%202017\PRET%20Versions,%20Data,%20Analysis,%20Reports\PRET%20version%202.0\Reports" TargetMode="External"/><Relationship Id="rId13" Type="http://schemas.openxmlformats.org/officeDocument/2006/relationships/hyperlink" Target="file:///C:\PRET%20Open%20Gov%202017\PRET%20Versions,%20Data,%20Analysis,%20Reports\PRET%20version%205.0\Reports"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PRET%20Open%20Gov%202017\PRET%20Versions,%20Data,%20Analysis,%20Reports\PRET%20version%204.0\Analysis%20Fil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PRET%20Open%20Gov%202017\PRET%20Versions,%20Data,%20Analysis,%20Reports\PRET%20version%204.0\Repor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PRET%20Open%20Gov%202017\PRET%20Versions,%20Data,%20Analysis,%20Reports\PRET%20version%203.0\Analysis%20Fil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PRET%20Open%20Gov%202017\PRET%20Versions,%20Data,%20Analysis,%20Reports\PRET%20version%203.0\Reports" TargetMode="External"/><Relationship Id="rId14" Type="http://schemas.openxmlformats.org/officeDocument/2006/relationships/hyperlink" Target="file:///C:\PRET%20Open%20Gov%202017\PRET%20Versions,%20Data,%20Analysis,%20Reports\PRET%20version%205.0\Analysis%20Fi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ASC-CSA</Company>
  <LinksUpToDate>false</LinksUpToDate>
  <CharactersWithSpaces>21463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Brown</dc:creator>
  <cp:lastModifiedBy>Kwan, Eva (ASC/CSA)</cp:lastModifiedBy>
  <cp:revision>6</cp:revision>
  <dcterms:created xsi:type="dcterms:W3CDTF">2017-07-19T19:11:00Z</dcterms:created>
  <dcterms:modified xsi:type="dcterms:W3CDTF">2017-08-16T17:21:00Z</dcterms:modified>
</cp:coreProperties>
</file>